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40"/>
          <w:szCs w:val="40"/>
        </w:rPr>
        <w:t xml:space="preserve">Critical Care Documentation &amp; Billing Cheat Sheet</w:t>
      </w:r>
    </w:p>
    <w:p>
      <w:pPr>
        <w:spacing w:after="40"/>
      </w:pPr>
      <w:r>
        <w:rPr>
          <w:color w:val="2E75B6"/>
          <w:sz w:val="22"/>
          <w:szCs w:val="22"/>
        </w:rPr>
        <w:t xml:space="preserve">Quick reference for intensivists — CY2026 Medicare values</w:t>
      </w:r>
    </w:p>
    <w:p>
      <w:pPr>
        <w:pBdr>
          <w:bottom w:val="single" w:color="2E75B6" w:sz="12" w:space="2"/>
        </w:pBdr>
        <w:spacing w:after="160"/>
      </w:pPr>
      <w:r>
        <w:rPr>
          <w:i/>
          <w:iCs/>
          <w:color w:val="555555"/>
          <w:sz w:val="16"/>
          <w:szCs w:val="16"/>
        </w:rPr>
        <w:t xml:space="preserve">Prepared May 2026  •  CY2026 non-QP conversion factor $33.40</w:t>
      </w:r>
    </w:p>
    <w:p>
      <w:pPr>
        <w:pStyle w:val="Heading1"/>
      </w:pPr>
      <w:r>
        <w:t xml:space="preserve">1. How Physician Billing Actually Works</w:t>
      </w:r>
    </w:p>
    <w:p>
      <w:pPr>
        <w:spacing w:after="80"/>
      </w:pPr>
      <w:r>
        <w:rPr>
          <w:b w:val="false"/>
          <w:bCs w:val="false"/>
          <w:i w:val="false"/>
          <w:iCs w:val="false"/>
          <w:sz w:val="20"/>
          <w:szCs w:val="20"/>
        </w:rPr>
        <w:t xml:space="preserve">Two different code sets do two different jobs. Confusing them is the most common billing error.</w:t>
      </w:r>
    </w:p>
    <w:p>
      <w:pPr>
        <w:pStyle w:val="ListParagraph"/>
        <w:numPr>
          <w:ilvl w:val="0"/>
          <w:numId w:val="2"/>
        </w:numPr>
        <w:spacing w:after="60"/>
      </w:pPr>
      <w:r>
        <w:rPr>
          <w:b/>
          <w:bCs/>
          <w:i w:val="false"/>
          <w:iCs w:val="false"/>
          <w:sz w:val="20"/>
          <w:szCs w:val="20"/>
        </w:rPr>
        <w:t xml:space="preserve">CPT / E&amp;M codes </w:t>
      </w:r>
      <w:r>
        <w:rPr>
          <w:b w:val="false"/>
          <w:bCs w:val="false"/>
          <w:i w:val="false"/>
          <w:iCs w:val="false"/>
          <w:sz w:val="20"/>
          <w:szCs w:val="20"/>
        </w:rPr>
        <w:t xml:space="preserve">generate the money. Each carries a work RVU (wRVU) and a total RVU. Medicare payment = total RVU × conversion factor (CF), adjusted by local GPCI. The CY2026 CF for non-APM clinicians is </w:t>
      </w:r>
      <w:r>
        <w:rPr>
          <w:b/>
          <w:bCs/>
          <w:i w:val="false"/>
          <w:iCs w:val="false"/>
          <w:sz w:val="20"/>
          <w:szCs w:val="20"/>
        </w:rPr>
        <w:t xml:space="preserve">$33.40</w:t>
      </w:r>
      <w:r>
        <w:rPr>
          <w:b w:val="false"/>
          <w:bCs w:val="false"/>
          <w:i w:val="false"/>
          <w:iCs w:val="false"/>
          <w:sz w:val="20"/>
          <w:szCs w:val="20"/>
        </w:rPr>
        <w:t xml:space="preserve"> (QP/APM CF is $33.57).</w:t>
      </w:r>
    </w:p>
    <w:p>
      <w:pPr>
        <w:pStyle w:val="ListParagraph"/>
        <w:numPr>
          <w:ilvl w:val="0"/>
          <w:numId w:val="2"/>
        </w:numPr>
        <w:spacing w:after="60"/>
      </w:pPr>
      <w:r>
        <w:rPr>
          <w:b/>
          <w:bCs/>
          <w:i w:val="false"/>
          <w:iCs w:val="false"/>
          <w:sz w:val="20"/>
          <w:szCs w:val="20"/>
        </w:rPr>
        <w:t xml:space="preserve">ICD-10 diagnosis codes </w:t>
      </w:r>
      <w:r>
        <w:rPr>
          <w:b w:val="false"/>
          <w:bCs w:val="false"/>
          <w:i w:val="false"/>
          <w:iCs w:val="false"/>
          <w:sz w:val="20"/>
          <w:szCs w:val="20"/>
        </w:rPr>
        <w:t xml:space="preserve">do NOT generate a professional RVU or dollar amount by themselves. They justify medical necessity and, on the facility side, drive the DRG and severity weighting (CC/MCC). A precise diagnosis raises facility reimbursement and case-mix index — not your professional wRVU.</w:t>
      </w:r>
    </w:p>
    <w:p>
      <w:pPr>
        <w:spacing w:after="80"/>
      </w:pPr>
      <w:r>
        <w:rPr>
          <w:b w:val="false"/>
          <w:bCs w:val="false"/>
          <w:i/>
          <w:iCs/>
          <w:sz w:val="20"/>
          <w:szCs w:val="20"/>
        </w:rPr>
        <w:t xml:space="preserve">Practical takeaway: your professional income is driven by the CPT/E&amp;M code you select and the time you document. Your diagnoses determine whether that service is payable and how sick the hospital gets credit for.</w:t>
      </w:r>
    </w:p>
    <w:p>
      <w:pPr>
        <w:pStyle w:val="Heading2"/>
      </w:pPr>
      <w:r>
        <w:t xml:space="preserve">Medicare payment formula</w:t>
      </w:r>
    </w:p>
    <w:p>
      <w:pPr>
        <w:spacing w:after="60"/>
      </w:pPr>
      <w:r>
        <w:rPr>
          <w:b/>
          <w:bCs/>
          <w:i w:val="false"/>
          <w:iCs w:val="false"/>
          <w:sz w:val="20"/>
          <w:szCs w:val="20"/>
        </w:rPr>
        <w:t xml:space="preserve">Payment = [(wRVU × work GPCI) + (PE RVU × PE GPCI) + (MP RVU × MP GPCI)] × $33.40</w:t>
      </w:r>
    </w:p>
    <w:p>
      <w:pPr>
        <w:spacing w:after="120"/>
      </w:pPr>
      <w:r>
        <w:rPr>
          <w:b w:val="false"/>
          <w:bCs w:val="false"/>
          <w:i/>
          <w:iCs/>
          <w:sz w:val="20"/>
          <w:szCs w:val="20"/>
        </w:rPr>
        <w:t xml:space="preserve">The dollar figures throughout this sheet use national, unadjusted total facility RVUs × $33.40. Your local payment will vary with GPCI. wRVU columns are what most productivity / compensation models track.</w:t>
      </w:r>
    </w:p>
    <w:p>
      <w:r>
        <w:br w:type="page"/>
      </w:r>
    </w:p>
    <w:p>
      <w:pPr>
        <w:pStyle w:val="Heading1"/>
      </w:pPr>
      <w:r>
        <w:t xml:space="preserve">2. Critical Care E/M — 99291 &amp; 99292</w:t>
      </w:r>
    </w:p>
    <w:p>
      <w:pPr>
        <w:spacing w:after="60"/>
      </w:pPr>
      <w:r>
        <w:rPr>
          <w:b w:val="false"/>
          <w:bCs w:val="false"/>
          <w:i w:val="false"/>
          <w:iCs w:val="false"/>
          <w:sz w:val="20"/>
          <w:szCs w:val="20"/>
        </w:rPr>
        <w:t xml:space="preserve">Critical care is time-based, not complexity-based. Two requirements must BOTH be met:</w:t>
      </w:r>
    </w:p>
    <w:p>
      <w:pPr>
        <w:pStyle w:val="ListParagraph"/>
        <w:numPr>
          <w:ilvl w:val="0"/>
          <w:numId w:val="2"/>
        </w:numPr>
        <w:spacing w:after="60"/>
      </w:pPr>
      <w:r>
        <w:rPr>
          <w:b/>
          <w:bCs/>
          <w:i w:val="false"/>
          <w:iCs w:val="false"/>
          <w:sz w:val="20"/>
          <w:szCs w:val="20"/>
        </w:rPr>
        <w:t xml:space="preserve">A critical illness/injury </w:t>
      </w:r>
      <w:r>
        <w:rPr>
          <w:b w:val="false"/>
          <w:bCs w:val="false"/>
          <w:i w:val="false"/>
          <w:iCs w:val="false"/>
          <w:sz w:val="20"/>
          <w:szCs w:val="20"/>
        </w:rPr>
        <w:t xml:space="preserve">that acutely impairs one or more vital organ systems with a high probability of imminent or life-threatening deterioration; AND</w:t>
      </w:r>
    </w:p>
    <w:p>
      <w:pPr>
        <w:pStyle w:val="ListParagraph"/>
        <w:numPr>
          <w:ilvl w:val="0"/>
          <w:numId w:val="2"/>
        </w:numPr>
        <w:spacing w:after="60"/>
      </w:pPr>
      <w:r>
        <w:rPr>
          <w:b/>
          <w:bCs/>
          <w:i w:val="false"/>
          <w:iCs w:val="false"/>
          <w:sz w:val="20"/>
          <w:szCs w:val="20"/>
        </w:rPr>
        <w:t xml:space="preserve">Physician work of high complexity </w:t>
      </w:r>
      <w:r>
        <w:rPr>
          <w:b w:val="false"/>
          <w:bCs w:val="false"/>
          <w:i w:val="false"/>
          <w:iCs w:val="false"/>
          <w:sz w:val="20"/>
          <w:szCs w:val="20"/>
        </w:rPr>
        <w:t xml:space="preserve">directing care to treat or prevent that deterioration (interpreting data, titrating therapy, making frequent decisions).</w:t>
      </w:r>
    </w:p>
    <w:p>
      <w:pPr>
        <w:spacing w:after="120"/>
      </w:pPr>
      <w:r>
        <w:rPr>
          <w:b w:val="false"/>
          <w:bCs w:val="false"/>
          <w:i/>
          <w:iCs/>
          <w:sz w:val="20"/>
          <w:szCs w:val="20"/>
        </w:rPr>
        <w:t xml:space="preserve">Mere location in an ICU, or a sick patient who is stable, does not qualify. The note must show the organ-system threat and your active intervention.</w:t>
      </w:r>
    </w:p>
    <w:p>
      <w:pPr>
        <w:pStyle w:val="Heading2"/>
      </w:pPr>
      <w:r>
        <w:t xml:space="preserve">Time → code mapping</w:t>
      </w:r>
    </w:p>
    <w:p>
      <w:pPr>
        <w:spacing w:after="80"/>
      </w:pPr>
      <w:r>
        <w:rPr>
          <w:b w:val="false"/>
          <w:bCs w:val="false"/>
          <w:i w:val="false"/>
          <w:iCs w:val="false"/>
          <w:sz w:val="20"/>
          <w:szCs w:val="20"/>
        </w:rPr>
        <w:t xml:space="preserve">99291 covers the first 30–74 minutes. It cannot be billed for &lt; 30 minutes (use a subsequent-care E&amp;M instead). 99292 is an add-on for each additional 30 minutes.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rPr>
          <w:tblHeader/>
        </w:trPr>
        <w:tc>
          <w:tcPr>
            <w:tcW w:type="dxa" w:w="636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Total critical care time (per calendar day)</w:t>
            </w:r>
          </w:p>
        </w:tc>
        <w:tc>
          <w:tcPr>
            <w:tcW w:type="dxa" w:w="30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Code(s) to report</w:t>
            </w:r>
          </w:p>
        </w:tc>
      </w:tr>
      <w:tr>
        <w:tc>
          <w:tcPr>
            <w:tcW w:type="dxa" w:w="6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Less than 30 min</w:t>
            </w:r>
          </w:p>
        </w:tc>
        <w:tc>
          <w:tcPr>
            <w:tcW w:type="dxa" w:w="3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Not critical care — bill subsequent care E&amp;M (99231–99233)</w:t>
            </w:r>
          </w:p>
        </w:tc>
      </w:tr>
      <w:tr>
        <w:tc>
          <w:tcPr>
            <w:tcW w:type="dxa" w:w="6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30–74 min</w:t>
            </w:r>
          </w:p>
        </w:tc>
        <w:tc>
          <w:tcPr>
            <w:tcW w:type="dxa" w:w="3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99291 × 1</w:t>
            </w:r>
          </w:p>
        </w:tc>
      </w:tr>
      <w:tr>
        <w:tc>
          <w:tcPr>
            <w:tcW w:type="dxa" w:w="6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75–104 min</w:t>
            </w:r>
          </w:p>
        </w:tc>
        <w:tc>
          <w:tcPr>
            <w:tcW w:type="dxa" w:w="3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99291 + 99292 × 1</w:t>
            </w:r>
          </w:p>
        </w:tc>
      </w:tr>
      <w:tr>
        <w:tc>
          <w:tcPr>
            <w:tcW w:type="dxa" w:w="6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105–134 min</w:t>
            </w:r>
          </w:p>
        </w:tc>
        <w:tc>
          <w:tcPr>
            <w:tcW w:type="dxa" w:w="3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99291 + 99292 × 2</w:t>
            </w:r>
          </w:p>
        </w:tc>
      </w:tr>
      <w:tr>
        <w:tc>
          <w:tcPr>
            <w:tcW w:type="dxa" w:w="6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135–164 min</w:t>
            </w:r>
          </w:p>
        </w:tc>
        <w:tc>
          <w:tcPr>
            <w:tcW w:type="dxa" w:w="3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99291 + 99292 × 3</w:t>
            </w:r>
          </w:p>
        </w:tc>
      </w:tr>
      <w:tr>
        <w:tc>
          <w:tcPr>
            <w:tcW w:type="dxa" w:w="6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165–194 min</w:t>
            </w:r>
          </w:p>
        </w:tc>
        <w:tc>
          <w:tcPr>
            <w:tcW w:type="dxa" w:w="3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99291 + 99292 × 4</w:t>
            </w:r>
          </w:p>
        </w:tc>
      </w:tr>
      <w:tr>
        <w:tc>
          <w:tcPr>
            <w:tcW w:type="dxa" w:w="6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bCs/>
                <w:sz w:val="18"/>
                <w:szCs w:val="18"/>
              </w:rPr>
              <w:t xml:space="preserve">Each additional 30 min</w:t>
            </w:r>
          </w:p>
        </w:tc>
        <w:tc>
          <w:tcPr>
            <w:tcW w:type="dxa" w:w="3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bCs/>
                <w:sz w:val="18"/>
                <w:szCs w:val="18"/>
              </w:rPr>
              <w:t xml:space="preserve">+ one more 99292</w:t>
            </w:r>
          </w:p>
        </w:tc>
      </w:tr>
    </w:tbl>
    <w:p>
      <w:pPr>
        <w:pStyle w:val="Heading2"/>
      </w:pPr>
      <w:r>
        <w:t xml:space="preserve">Capturing time across multiple attendings (and APPs)</w:t>
      </w:r>
    </w:p>
    <w:p>
      <w:pPr>
        <w:spacing w:after="80"/>
      </w:pPr>
      <w:r>
        <w:rPr>
          <w:b w:val="false"/>
          <w:bCs w:val="false"/>
          <w:i w:val="false"/>
          <w:iCs w:val="false"/>
          <w:sz w:val="20"/>
          <w:szCs w:val="20"/>
        </w:rPr>
        <w:t xml:space="preserve">Document total critical care MINUTES in every note and let coding assign 99291/99292 — physicians should not self-select the codes. That one habit captures the most and prevents the common miss of billing 99291 but forgetting 99292.</w:t>
      </w:r>
    </w:p>
    <w:p>
      <w:pPr>
        <w:pStyle w:val="ListParagraph"/>
        <w:numPr>
          <w:ilvl w:val="0"/>
          <w:numId w:val="2"/>
        </w:numPr>
        <w:spacing w:after="60"/>
      </w:pPr>
      <w:r>
        <w:rPr>
          <w:b/>
          <w:bCs/>
          <w:i w:val="false"/>
          <w:iCs w:val="false"/>
          <w:sz w:val="20"/>
          <w:szCs w:val="20"/>
        </w:rPr>
        <w:t xml:space="preserve">Same group + same specialty aggregates. </w:t>
      </w:r>
      <w:r>
        <w:rPr>
          <w:b w:val="false"/>
          <w:bCs w:val="false"/>
          <w:i w:val="false"/>
          <w:iCs w:val="false"/>
          <w:sz w:val="20"/>
          <w:szCs w:val="20"/>
        </w:rPr>
        <w:t xml:space="preserve">Two PCCM attendings in the same group are treated as one physician — their minutes on the same patient/same calendar day combine. The group reports 99291 ONCE for the first 30–74 min, then 99292 for each additional 30. Example: 20 min + 85 min = 105 min → 99291 + 99292.</w:t>
      </w:r>
    </w:p>
    <w:p>
      <w:pPr>
        <w:pStyle w:val="ListParagraph"/>
        <w:numPr>
          <w:ilvl w:val="0"/>
          <w:numId w:val="2"/>
        </w:numPr>
        <w:spacing w:after="60"/>
      </w:pPr>
      <w:r>
        <w:rPr>
          <w:b/>
          <w:bCs/>
          <w:i w:val="false"/>
          <w:iCs w:val="false"/>
          <w:sz w:val="20"/>
          <w:szCs w:val="20"/>
        </w:rPr>
        <w:t xml:space="preserve">They cannot each bill 99291 </w:t>
      </w:r>
      <w:r>
        <w:rPr>
          <w:b w:val="false"/>
          <w:bCs w:val="false"/>
          <w:i w:val="false"/>
          <w:iCs w:val="false"/>
          <w:sz w:val="20"/>
          <w:szCs w:val="20"/>
        </w:rPr>
        <w:t xml:space="preserve">(that is double-billing) — the time combines into one group claim. A different-specialty physician does bill a separate 99291.</w:t>
      </w:r>
    </w:p>
    <w:p>
      <w:pPr>
        <w:pStyle w:val="ListParagraph"/>
        <w:numPr>
          <w:ilvl w:val="0"/>
          <w:numId w:val="2"/>
        </w:numPr>
        <w:spacing w:after="60"/>
      </w:pPr>
      <w:r>
        <w:rPr>
          <w:sz w:val="20"/>
          <w:szCs w:val="20"/>
        </w:rPr>
        <w:t xml:space="preserve">Aggregation works even if neither attending reached 30 minutes alone — the combined time is what qualifies (Medicare needs 104 total minutes before the first 99292).</w:t>
      </w:r>
    </w:p>
    <w:p>
      <w:pPr>
        <w:pStyle w:val="ListParagraph"/>
        <w:numPr>
          <w:ilvl w:val="0"/>
          <w:numId w:val="2"/>
        </w:numPr>
        <w:spacing w:after="60"/>
      </w:pPr>
      <w:r>
        <w:rPr>
          <w:sz w:val="20"/>
          <w:szCs w:val="20"/>
        </w:rPr>
        <w:t xml:space="preserve">Each provider's time must independently qualify as critical care, and simultaneous bedside time is counted once, not doubled.</w:t>
      </w:r>
    </w:p>
    <w:p>
      <w:pPr>
        <w:pStyle w:val="ListParagraph"/>
        <w:numPr>
          <w:ilvl w:val="0"/>
          <w:numId w:val="2"/>
        </w:numPr>
        <w:spacing w:after="60"/>
      </w:pPr>
      <w:r>
        <w:rPr>
          <w:b w:val="false"/>
          <w:bCs w:val="false"/>
          <w:i w:val="false"/>
          <w:iCs w:val="false"/>
          <w:sz w:val="20"/>
          <w:szCs w:val="20"/>
        </w:rPr>
        <w:t xml:space="preserve">With APPs in the group, same approach </w:t>
      </w:r>
      <w:r>
        <w:rPr>
          <w:b w:val="false"/>
          <w:bCs w:val="false"/>
          <w:i w:val="false"/>
          <w:iCs w:val="false"/>
          <w:sz w:val="20"/>
          <w:szCs w:val="20"/>
        </w:rPr>
        <w:t xml:space="preserve">— both names and minutes in the notes; coding applies the FS modifier and split/shared logic (see Section 3).</w:t>
      </w:r>
    </w:p>
    <w:p>
      <w:pPr>
        <w:spacing w:after="40"/>
      </w:pPr>
      <w:r>
        <w:rPr>
          <w:b/>
          <w:bCs/>
          <w:i w:val="false"/>
          <w:iCs w:val="false"/>
          <w:sz w:val="20"/>
          <w:szCs w:val="20"/>
        </w:rPr>
        <w:t xml:space="preserve">Ready-to-paste minute attestation (use in every ICU note; never a range, never the same number for every patient):</w:t>
      </w:r>
    </w:p>
    <w:p>
      <w:pPr>
        <w:pBdr>
          <w:left w:val="single" w:color="2E75B6" w:sz="18" w:space="6"/>
        </w:pBdr>
        <w:shd w:fill="EAF1F8" w:val="clear"/>
        <w:spacing w:after="160" w:before="40"/>
      </w:pPr>
      <w:r>
        <w:rPr>
          <w:i/>
          <w:iCs/>
          <w:sz w:val="20"/>
          <w:szCs w:val="20"/>
        </w:rPr>
        <w:t xml:space="preserve">“I personally provided ___ minutes of critical care to this patient on [date], exclusive of separately billable procedures and teaching time. The patient has [organ system(s)] at high risk of life-threatening deterioration; I reviewed [data], directed [interventions], and reassessed the response.”</w:t>
      </w:r>
    </w:p>
    <w:p>
      <w:pPr>
        <w:pStyle w:val="Heading2"/>
      </w:pPr>
      <w:r>
        <w:t xml:space="preserve">What time counts (and what doesn't)</w:t>
      </w:r>
    </w:p>
    <w:p>
      <w:pPr>
        <w:pStyle w:val="ListParagraph"/>
        <w:numPr>
          <w:ilvl w:val="0"/>
          <w:numId w:val="2"/>
        </w:numPr>
        <w:spacing w:after="60"/>
      </w:pPr>
      <w:r>
        <w:rPr>
          <w:sz w:val="20"/>
          <w:szCs w:val="20"/>
        </w:rPr>
        <w:t xml:space="preserve">Counts: time at the bedside AND time spent on the unit/floor on that patient's care — reviewing labs/imaging, discussing with consultants/staff, documenting, and family discussions when the patient cannot participate and the discussion is needed for management decisions.</w:t>
      </w:r>
    </w:p>
    <w:p>
      <w:pPr>
        <w:pStyle w:val="ListParagraph"/>
        <w:numPr>
          <w:ilvl w:val="0"/>
          <w:numId w:val="2"/>
        </w:numPr>
        <w:spacing w:after="60"/>
      </w:pPr>
      <w:r>
        <w:rPr>
          <w:sz w:val="20"/>
          <w:szCs w:val="20"/>
        </w:rPr>
        <w:t xml:space="preserve">Does NOT count: time on separately billable procedures (carve it out), teaching time not tied to care, time off the unit, and time spent on other patients.</w:t>
      </w:r>
    </w:p>
    <w:p>
      <w:pPr>
        <w:pStyle w:val="ListParagraph"/>
        <w:numPr>
          <w:ilvl w:val="0"/>
          <w:numId w:val="2"/>
        </w:numPr>
        <w:spacing w:after="60"/>
      </w:pPr>
      <w:r>
        <w:rPr>
          <w:sz w:val="20"/>
          <w:szCs w:val="20"/>
        </w:rPr>
        <w:t xml:space="preserve">Aggregate time over the calendar day is allowed for a single physician; document total minutes.</w:t>
      </w:r>
    </w:p>
    <w:p>
      <w:pPr>
        <w:pStyle w:val="Heading2"/>
      </w:pPr>
      <w:r>
        <w:t xml:space="preserve">Documentation that protects the code</w:t>
      </w:r>
    </w:p>
    <w:p>
      <w:pPr>
        <w:pStyle w:val="ListParagraph"/>
        <w:numPr>
          <w:ilvl w:val="0"/>
          <w:numId w:val="2"/>
        </w:numPr>
        <w:spacing w:after="60"/>
      </w:pPr>
      <w:r>
        <w:rPr>
          <w:b/>
          <w:bCs/>
          <w:i w:val="false"/>
          <w:iCs w:val="false"/>
          <w:sz w:val="20"/>
          <w:szCs w:val="20"/>
        </w:rPr>
        <w:t xml:space="preserve">Total critical care time</w:t>
      </w:r>
      <w:r>
        <w:rPr>
          <w:b w:val="false"/>
          <w:bCs w:val="false"/>
          <w:i w:val="false"/>
          <w:iCs w:val="false"/>
          <w:sz w:val="20"/>
          <w:szCs w:val="20"/>
        </w:rPr>
        <w:t xml:space="preserve"> stated explicitly, e.g. “Total critical care time 50 minutes, exclusive of separately billable procedures.”</w:t>
      </w:r>
    </w:p>
    <w:p>
      <w:pPr>
        <w:pStyle w:val="ListParagraph"/>
        <w:numPr>
          <w:ilvl w:val="0"/>
          <w:numId w:val="2"/>
        </w:numPr>
        <w:spacing w:after="60"/>
      </w:pPr>
      <w:r>
        <w:rPr>
          <w:sz w:val="20"/>
          <w:szCs w:val="20"/>
        </w:rPr>
        <w:t xml:space="preserve">The vital organ system(s) at risk and the specific threat of deterioration.</w:t>
      </w:r>
    </w:p>
    <w:p>
      <w:pPr>
        <w:pStyle w:val="ListParagraph"/>
        <w:numPr>
          <w:ilvl w:val="0"/>
          <w:numId w:val="2"/>
        </w:numPr>
        <w:spacing w:after="60"/>
      </w:pPr>
      <w:r>
        <w:rPr>
          <w:sz w:val="20"/>
          <w:szCs w:val="20"/>
        </w:rPr>
        <w:t xml:space="preserve">The high-complexity decision-making: data reviewed, interventions ordered/titrated, response assessed.</w:t>
      </w:r>
    </w:p>
    <w:p>
      <w:pPr>
        <w:pStyle w:val="ListParagraph"/>
        <w:numPr>
          <w:ilvl w:val="0"/>
          <w:numId w:val="2"/>
        </w:numPr>
        <w:spacing w:after="60"/>
      </w:pPr>
      <w:r>
        <w:rPr>
          <w:sz w:val="20"/>
          <w:szCs w:val="20"/>
        </w:rPr>
        <w:t xml:space="preserve">If a procedure was done, note it separately and confirm its time was excluded from CC time.</w:t>
      </w:r>
    </w:p>
    <w:p>
      <w:pPr>
        <w:pStyle w:val="Heading2"/>
      </w:pPr>
      <w:r>
        <w:t xml:space="preserve">Bundled services — included in 99291/99292, never billed separately</w:t>
      </w:r>
    </w:p>
    <w:p>
      <w:pPr>
        <w:spacing w:after="60"/>
      </w:pPr>
      <w:r>
        <w:rPr>
          <w:b w:val="false"/>
          <w:bCs w:val="false"/>
          <w:i w:val="false"/>
          <w:iCs w:val="false"/>
          <w:sz w:val="20"/>
          <w:szCs w:val="20"/>
        </w:rPr>
        <w:t xml:space="preserve">Per CPT, these are part of critical care on the same day and cannot be reported separately: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760"/>
        <w:gridCol w:w="3600"/>
      </w:tblGrid>
      <w:tr>
        <w:trPr>
          <w:tblHeader/>
        </w:trPr>
        <w:tc>
          <w:tcPr>
            <w:tcW w:type="dxa" w:w="576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Bundled service</w:t>
            </w:r>
          </w:p>
        </w:tc>
        <w:tc>
          <w:tcPr>
            <w:tcW w:type="dxa" w:w="36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CPT</w:t>
            </w:r>
          </w:p>
        </w:tc>
      </w:tr>
      <w:tr>
        <w:tc>
          <w:tcPr>
            <w:tcW w:type="dxa" w:w="57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Vascular access / IV placement</w:t>
            </w:r>
          </w:p>
        </w:tc>
        <w:tc>
          <w:tcPr>
            <w:tcW w:type="dxa" w:w="3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36000, 36410, 36415, 36591, 36600</w:t>
            </w:r>
          </w:p>
        </w:tc>
      </w:tr>
      <w:tr>
        <w:tc>
          <w:tcPr>
            <w:tcW w:type="dxa" w:w="57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Gastric intubation / lavage</w:t>
            </w:r>
          </w:p>
        </w:tc>
        <w:tc>
          <w:tcPr>
            <w:tcW w:type="dxa" w:w="3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43752, 43753, 91105</w:t>
            </w:r>
          </w:p>
        </w:tc>
      </w:tr>
      <w:tr>
        <w:tc>
          <w:tcPr>
            <w:tcW w:type="dxa" w:w="57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Chest X-ray interpretation</w:t>
            </w:r>
          </w:p>
        </w:tc>
        <w:tc>
          <w:tcPr>
            <w:tcW w:type="dxa" w:w="3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71045, 71046</w:t>
            </w:r>
          </w:p>
        </w:tc>
      </w:tr>
      <w:tr>
        <w:tc>
          <w:tcPr>
            <w:tcW w:type="dxa" w:w="57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Pulse oximetry</w:t>
            </w:r>
          </w:p>
        </w:tc>
        <w:tc>
          <w:tcPr>
            <w:tcW w:type="dxa" w:w="3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94760, 94761, 94762</w:t>
            </w:r>
          </w:p>
        </w:tc>
      </w:tr>
      <w:tr>
        <w:tc>
          <w:tcPr>
            <w:tcW w:type="dxa" w:w="57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Ventilator / CPAP management</w:t>
            </w:r>
          </w:p>
        </w:tc>
        <w:tc>
          <w:tcPr>
            <w:tcW w:type="dxa" w:w="3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94002–94004, 94660, 94662</w:t>
            </w:r>
          </w:p>
        </w:tc>
      </w:tr>
      <w:tr>
        <w:tc>
          <w:tcPr>
            <w:tcW w:type="dxa" w:w="57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Cardiac output measurements</w:t>
            </w:r>
          </w:p>
        </w:tc>
        <w:tc>
          <w:tcPr>
            <w:tcW w:type="dxa" w:w="3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93561, 93562</w:t>
            </w:r>
          </w:p>
        </w:tc>
      </w:tr>
      <w:tr>
        <w:tc>
          <w:tcPr>
            <w:tcW w:type="dxa" w:w="57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Temporary transcutaneous pacing</w:t>
            </w:r>
          </w:p>
        </w:tc>
        <w:tc>
          <w:tcPr>
            <w:tcW w:type="dxa" w:w="3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92953</w:t>
            </w:r>
          </w:p>
        </w:tc>
      </w:tr>
      <w:tr>
        <w:tc>
          <w:tcPr>
            <w:tcW w:type="dxa" w:w="57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Blood gases &amp; data interpretation/storage</w:t>
            </w:r>
          </w:p>
        </w:tc>
        <w:tc>
          <w:tcPr>
            <w:tcW w:type="dxa" w:w="3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99090</w:t>
            </w:r>
          </w:p>
        </w:tc>
      </w:tr>
    </w:tbl>
    <w:p>
      <w:pPr>
        <w:spacing w:after="120"/>
      </w:pPr>
      <w:r>
        <w:rPr>
          <w:b w:val="false"/>
          <w:bCs w:val="false"/>
          <w:i/>
          <w:iCs/>
          <w:sz w:val="20"/>
          <w:szCs w:val="20"/>
        </w:rPr>
        <w:t xml:space="preserve">Anything NOT on this list (intubation, CPR, central/arterial lines, chest tube, thoracentesis, paracentesis, LP, cardioversion, bronchoscopy, pacemaker, Swan-Ganz) IS separately billable — but its minutes must be carved out of critical care time.</w:t>
      </w:r>
    </w:p>
    <w:p>
      <w:r>
        <w:br w:type="page"/>
      </w:r>
    </w:p>
    <w:p>
      <w:pPr>
        <w:pStyle w:val="Heading1"/>
      </w:pPr>
      <w:r>
        <w:t xml:space="preserve">3. Billing With Residents &amp; APPs (Academic Settings)</w:t>
      </w:r>
    </w:p>
    <w:p>
      <w:pPr>
        <w:spacing w:after="100"/>
      </w:pPr>
      <w:r>
        <w:rPr>
          <w:b w:val="false"/>
          <w:bCs w:val="false"/>
          <w:i w:val="false"/>
          <w:iCs w:val="false"/>
          <w:sz w:val="20"/>
          <w:szCs w:val="20"/>
        </w:rPr>
        <w:t xml:space="preserve">At a teaching hospital, who may bill and whose time counts depends on whether you are working with a RESIDENT or an APP/NPP. These are two different rule sets — do not conflate them. Residents fall under Teaching Physician rules; APPs fall under Split (or Shared) Visit rules.</w:t>
      </w:r>
    </w:p>
    <w:p>
      <w:pPr>
        <w:pStyle w:val="Heading2"/>
      </w:pPr>
      <w:r>
        <w:t xml:space="preserve">Working with residents — Teaching Physician (TP) rules</w:t>
      </w:r>
    </w:p>
    <w:p>
      <w:pPr>
        <w:pStyle w:val="ListParagraph"/>
        <w:numPr>
          <w:ilvl w:val="0"/>
          <w:numId w:val="2"/>
        </w:numPr>
        <w:spacing w:after="60"/>
      </w:pPr>
      <w:r>
        <w:rPr>
          <w:b/>
          <w:bCs/>
          <w:i w:val="false"/>
          <w:iCs w:val="false"/>
          <w:sz w:val="20"/>
          <w:szCs w:val="20"/>
        </w:rPr>
        <w:t xml:space="preserve">Only the teaching physician's own time counts. </w:t>
      </w:r>
      <w:r>
        <w:rPr>
          <w:b w:val="false"/>
          <w:bCs w:val="false"/>
          <w:i w:val="false"/>
          <w:iCs w:val="false"/>
          <w:sz w:val="20"/>
          <w:szCs w:val="20"/>
        </w:rPr>
        <w:t xml:space="preserve">Critical care is time-based, so time the resident spends with the patient WITHOUT the attending does not count toward critical care minutes, and time spent teaching does not count. Count only time the TP is personally with the patient or working on that patient's care on the unit.</w:t>
      </w:r>
    </w:p>
    <w:p>
      <w:pPr>
        <w:pStyle w:val="ListParagraph"/>
        <w:numPr>
          <w:ilvl w:val="0"/>
          <w:numId w:val="2"/>
        </w:numPr>
        <w:spacing w:after="60"/>
      </w:pPr>
      <w:r>
        <w:rPr>
          <w:b/>
          <w:bCs/>
          <w:i w:val="false"/>
          <w:iCs w:val="false"/>
          <w:sz w:val="20"/>
          <w:szCs w:val="20"/>
        </w:rPr>
        <w:t xml:space="preserve">A resident cannot bill critical care, and there is no split/shared between a physician and a resident. </w:t>
      </w:r>
      <w:r>
        <w:rPr>
          <w:b w:val="false"/>
          <w:bCs w:val="false"/>
          <w:i w:val="false"/>
          <w:iCs w:val="false"/>
          <w:sz w:val="20"/>
          <w:szCs w:val="20"/>
        </w:rPr>
        <w:t xml:space="preserve">The service is billed under the teaching physician.</w:t>
      </w:r>
    </w:p>
    <w:p>
      <w:pPr>
        <w:pStyle w:val="ListParagraph"/>
        <w:numPr>
          <w:ilvl w:val="0"/>
          <w:numId w:val="2"/>
        </w:numPr>
        <w:spacing w:after="60"/>
      </w:pPr>
      <w:r>
        <w:rPr>
          <w:sz w:val="20"/>
          <w:szCs w:val="20"/>
        </w:rPr>
        <w:t xml:space="preserve">The TP must personally furnish the critical care time billed and personally document their own total critical care minutes and the management they provided. The TP may refer to and combine the resident's note for history, exam, and assessment, but must write their own attestation and time statement.</w:t>
      </w:r>
    </w:p>
    <w:p>
      <w:pPr>
        <w:pStyle w:val="ListParagraph"/>
        <w:numPr>
          <w:ilvl w:val="0"/>
          <w:numId w:val="2"/>
        </w:numPr>
        <w:spacing w:after="60"/>
      </w:pPr>
      <w:r>
        <w:rPr>
          <w:b w:val="false"/>
          <w:bCs w:val="false"/>
          <w:i w:val="false"/>
          <w:iCs w:val="false"/>
          <w:sz w:val="20"/>
          <w:szCs w:val="20"/>
        </w:rPr>
        <w:t xml:space="preserve">Append modifier </w:t>
      </w:r>
      <w:r>
        <w:rPr>
          <w:b/>
          <w:bCs/>
          <w:i w:val="false"/>
          <w:iCs w:val="false"/>
          <w:sz w:val="20"/>
          <w:szCs w:val="20"/>
        </w:rPr>
        <w:t xml:space="preserve">GC</w:t>
      </w:r>
      <w:r>
        <w:rPr>
          <w:b w:val="false"/>
          <w:bCs w:val="false"/>
          <w:i w:val="false"/>
          <w:iCs w:val="false"/>
          <w:sz w:val="20"/>
          <w:szCs w:val="20"/>
        </w:rPr>
        <w:t xml:space="preserve"> (“performed in part by a resident under the direction of a teaching physician”) to services with resident involvement.</w:t>
      </w:r>
    </w:p>
    <w:p>
      <w:pPr>
        <w:pStyle w:val="ListParagraph"/>
        <w:numPr>
          <w:ilvl w:val="0"/>
          <w:numId w:val="2"/>
        </w:numPr>
        <w:spacing w:after="60"/>
      </w:pPr>
      <w:r>
        <w:rPr>
          <w:b w:val="false"/>
          <w:bCs w:val="false"/>
          <w:i w:val="false"/>
          <w:iCs w:val="false"/>
          <w:sz w:val="20"/>
          <w:szCs w:val="20"/>
        </w:rPr>
        <w:t xml:space="preserve">The primary care exception / </w:t>
      </w:r>
      <w:r>
        <w:rPr>
          <w:b/>
          <w:bCs/>
          <w:i w:val="false"/>
          <w:iCs w:val="false"/>
          <w:sz w:val="20"/>
          <w:szCs w:val="20"/>
        </w:rPr>
        <w:t xml:space="preserve">GE</w:t>
      </w:r>
      <w:r>
        <w:rPr>
          <w:b w:val="false"/>
          <w:bCs w:val="false"/>
          <w:i w:val="false"/>
          <w:iCs w:val="false"/>
          <w:sz w:val="20"/>
          <w:szCs w:val="20"/>
        </w:rPr>
        <w:t xml:space="preserve"> modifier does NOT apply to critical care — the full TP presence requirement stands.</w:t>
      </w:r>
    </w:p>
    <w:p>
      <w:pPr>
        <w:spacing w:after="120"/>
      </w:pPr>
      <w:r>
        <w:rPr>
          <w:b w:val="false"/>
          <w:bCs w:val="false"/>
          <w:i/>
          <w:iCs/>
          <w:sz w:val="20"/>
          <w:szCs w:val="20"/>
        </w:rPr>
        <w:t xml:space="preserve">Sample TP critical care attestation: “I personally provided 45 minutes of critical care to this patient, exclusive of separately billable procedures and teaching time. I reviewed the labs/imaging/hemodynamics, directed vasopressor titration and ventilator changes, and I agree with the resident's documented history, exam, and assessment except as noted.”</w:t>
      </w:r>
    </w:p>
    <w:p>
      <w:pPr>
        <w:pStyle w:val="Heading2"/>
      </w:pPr>
      <w:r>
        <w:t xml:space="preserve">TP rules for non-critical-care E/M (subsequent visits 99231–99233)</w:t>
      </w:r>
    </w:p>
    <w:p>
      <w:pPr>
        <w:pStyle w:val="ListParagraph"/>
        <w:numPr>
          <w:ilvl w:val="0"/>
          <w:numId w:val="2"/>
        </w:numPr>
        <w:spacing w:after="60"/>
      </w:pPr>
      <w:r>
        <w:rPr>
          <w:sz w:val="20"/>
          <w:szCs w:val="20"/>
        </w:rPr>
        <w:t xml:space="preserve">Time-based level selection: again only the TP's time counts. MDM-based level selection: the TP must personally perform or be present for the key/critical portion and personally verify the MDM.</w:t>
      </w:r>
    </w:p>
    <w:p>
      <w:pPr>
        <w:pStyle w:val="ListParagraph"/>
        <w:numPr>
          <w:ilvl w:val="0"/>
          <w:numId w:val="2"/>
        </w:numPr>
        <w:spacing w:after="60"/>
      </w:pPr>
      <w:r>
        <w:rPr>
          <w:sz w:val="20"/>
          <w:szCs w:val="20"/>
        </w:rPr>
        <w:t xml:space="preserve">Since 2024 the TP may rely on the resident's note for the visit, but the record must show the TP personally performed the substantive work — a cosignature alone is not sufficient. Append GC.</w:t>
      </w:r>
    </w:p>
    <w:p>
      <w:pPr>
        <w:pStyle w:val="Heading2"/>
      </w:pPr>
      <w:r>
        <w:t xml:space="preserve">Working with APPs / NPPs — Split (or Shared) Visit rules</w:t>
      </w:r>
    </w:p>
    <w:p>
      <w:pPr>
        <w:pStyle w:val="ListParagraph"/>
        <w:numPr>
          <w:ilvl w:val="0"/>
          <w:numId w:val="2"/>
        </w:numPr>
        <w:spacing w:after="60"/>
      </w:pPr>
      <w:r>
        <w:rPr>
          <w:b/>
          <w:bCs/>
          <w:i w:val="false"/>
          <w:iCs w:val="false"/>
          <w:sz w:val="20"/>
          <w:szCs w:val="20"/>
        </w:rPr>
        <w:t xml:space="preserve">Applies when a physician AND an APP (NP/PA) in the SAME GROUP both personally perform part of the same patient's care on the same calendar day </w:t>
      </w:r>
      <w:r>
        <w:rPr>
          <w:b w:val="false"/>
          <w:bCs w:val="false"/>
          <w:i w:val="false"/>
          <w:iCs w:val="false"/>
          <w:sz w:val="20"/>
          <w:szCs w:val="20"/>
        </w:rPr>
        <w:t xml:space="preserve">in a facility setting. (Incident-to does not apply to hospital inpatient/ICU care — split/shared is the correct pathway.)</w:t>
      </w:r>
    </w:p>
    <w:p>
      <w:pPr>
        <w:pStyle w:val="ListParagraph"/>
        <w:numPr>
          <w:ilvl w:val="0"/>
          <w:numId w:val="2"/>
        </w:numPr>
        <w:spacing w:after="60"/>
      </w:pPr>
      <w:r>
        <w:rPr>
          <w:b/>
          <w:bCs/>
          <w:i w:val="false"/>
          <w:iCs w:val="false"/>
          <w:sz w:val="20"/>
          <w:szCs w:val="20"/>
        </w:rPr>
        <w:t xml:space="preserve">Critical care: SUM the physician's and APP's critical care minutes for the day. </w:t>
      </w:r>
      <w:r>
        <w:rPr>
          <w:b w:val="false"/>
          <w:bCs w:val="false"/>
          <w:i w:val="false"/>
          <w:iCs w:val="false"/>
          <w:sz w:val="20"/>
          <w:szCs w:val="20"/>
        </w:rPr>
        <w:t xml:space="preserve">Whoever performed the substantive portion — more than half of the combined time — reports 99291 (+99292). For critical care and other time-based services, substantive portion is defined by TIME only, not MDM.</w:t>
      </w:r>
    </w:p>
    <w:p>
      <w:pPr>
        <w:pStyle w:val="ListParagraph"/>
        <w:numPr>
          <w:ilvl w:val="0"/>
          <w:numId w:val="2"/>
        </w:numPr>
        <w:spacing w:after="60"/>
      </w:pPr>
      <w:r>
        <w:rPr>
          <w:sz w:val="20"/>
          <w:szCs w:val="20"/>
        </w:rPr>
        <w:t xml:space="preserve">For level-based E/M (non-critical-care), in CY2024–2026 the substantive portion may be either more than half of total time OR performance of the substantive part of MDM.</w:t>
      </w:r>
    </w:p>
    <w:p>
      <w:pPr>
        <w:pStyle w:val="ListParagraph"/>
        <w:numPr>
          <w:ilvl w:val="0"/>
          <w:numId w:val="2"/>
        </w:numPr>
        <w:spacing w:after="60"/>
      </w:pPr>
      <w:r>
        <w:rPr>
          <w:b w:val="false"/>
          <w:bCs w:val="false"/>
          <w:i w:val="false"/>
          <w:iCs w:val="false"/>
          <w:sz w:val="20"/>
          <w:szCs w:val="20"/>
        </w:rPr>
        <w:t xml:space="preserve">Append modifier </w:t>
      </w:r>
      <w:r>
        <w:rPr>
          <w:b/>
          <w:bCs/>
          <w:i w:val="false"/>
          <w:iCs w:val="false"/>
          <w:sz w:val="20"/>
          <w:szCs w:val="20"/>
        </w:rPr>
        <w:t xml:space="preserve">FS</w:t>
      </w:r>
      <w:r>
        <w:rPr>
          <w:b w:val="false"/>
          <w:bCs w:val="false"/>
          <w:i w:val="false"/>
          <w:iCs w:val="false"/>
          <w:sz w:val="20"/>
          <w:szCs w:val="20"/>
        </w:rPr>
        <w:t xml:space="preserve"> to the E/M code for any split/shared visit, regardless of who performed the substantive portion or who bills.</w:t>
      </w:r>
    </w:p>
    <w:p>
      <w:pPr>
        <w:pStyle w:val="ListParagraph"/>
        <w:numPr>
          <w:ilvl w:val="0"/>
          <w:numId w:val="2"/>
        </w:numPr>
        <w:spacing w:after="60"/>
      </w:pPr>
      <w:r>
        <w:rPr>
          <w:sz w:val="20"/>
          <w:szCs w:val="20"/>
        </w:rPr>
        <w:t xml:space="preserve">Document BOTH individuals by name, each one's time, the combined total, and who performed the substantive portion. The billing practitioner signs and dates the record.</w:t>
      </w:r>
    </w:p>
    <w:p>
      <w:pPr>
        <w:pStyle w:val="ListParagraph"/>
        <w:numPr>
          <w:ilvl w:val="0"/>
          <w:numId w:val="2"/>
        </w:numPr>
        <w:spacing w:after="60"/>
      </w:pPr>
      <w:r>
        <w:rPr>
          <w:b/>
          <w:bCs/>
          <w:i w:val="false"/>
          <w:iCs w:val="false"/>
          <w:sz w:val="20"/>
          <w:szCs w:val="20"/>
        </w:rPr>
        <w:t xml:space="preserve">Payment lever: </w:t>
      </w:r>
      <w:r>
        <w:rPr>
          <w:b w:val="false"/>
          <w:bCs w:val="false"/>
          <w:i w:val="false"/>
          <w:iCs w:val="false"/>
          <w:sz w:val="20"/>
          <w:szCs w:val="20"/>
        </w:rPr>
        <w:t xml:space="preserve">when the APP bills, Medicare pays ~85% of the physician fee schedule; when the physician furnishes the substantive portion and bills, it pays 100%. At the margin, having the physician perform &gt;50% of the combined critical care time changes reimbursement.</w:t>
      </w:r>
    </w:p>
    <w:p>
      <w:pPr>
        <w:pStyle w:val="Heading2"/>
      </w:pPr>
      <w:r>
        <w:t xml:space="preserve">Concurrent care, same-day &amp; two specialties</w:t>
      </w:r>
    </w:p>
    <w:p>
      <w:pPr>
        <w:pStyle w:val="ListParagraph"/>
        <w:numPr>
          <w:ilvl w:val="0"/>
          <w:numId w:val="2"/>
        </w:numPr>
        <w:spacing w:after="60"/>
      </w:pPr>
      <w:r>
        <w:rPr>
          <w:sz w:val="20"/>
          <w:szCs w:val="20"/>
        </w:rPr>
        <w:t xml:space="preserve">Critical care is per-physician / per-specialty: two clinicians of the SAME group and specialty cannot each bill 99291 for the same patient-day — combine their time via split/shared if one is an APP. A physician of a DIFFERENT specialty may bill separately when separately documented and medically necessary.</w:t>
      </w:r>
    </w:p>
    <w:p>
      <w:pPr>
        <w:pStyle w:val="ListParagraph"/>
        <w:numPr>
          <w:ilvl w:val="0"/>
          <w:numId w:val="2"/>
        </w:numPr>
        <w:spacing w:after="60"/>
      </w:pPr>
      <w:r>
        <w:rPr>
          <w:sz w:val="20"/>
          <w:szCs w:val="20"/>
        </w:rPr>
        <w:t xml:space="preserve">A resident-only encounter, with no qualifying teaching-physician presence, is not billable.</w:t>
      </w:r>
    </w:p>
    <w:p>
      <w:pPr>
        <w:pStyle w:val="Heading2"/>
      </w:pPr>
      <w:r>
        <w:t xml:space="preserve">Quick decision guide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3360"/>
        <w:gridCol w:w="2300"/>
        <w:gridCol w:w="1000"/>
      </w:tblGrid>
      <w:tr>
        <w:trPr>
          <w:tblHeader/>
        </w:trPr>
        <w:tc>
          <w:tcPr>
            <w:tcW w:type="dxa" w:w="27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You are working with…</w:t>
            </w:r>
          </w:p>
        </w:tc>
        <w:tc>
          <w:tcPr>
            <w:tcW w:type="dxa" w:w="336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Whose time counts</w:t>
            </w:r>
          </w:p>
        </w:tc>
        <w:tc>
          <w:tcPr>
            <w:tcW w:type="dxa" w:w="23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Who bills</w:t>
            </w:r>
          </w:p>
        </w:tc>
        <w:tc>
          <w:tcPr>
            <w:tcW w:type="dxa" w:w="10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Modifier</w:t>
            </w:r>
          </w:p>
        </w:tc>
      </w:tr>
      <w:tr>
        <w:tc>
          <w:tcPr>
            <w:tcW w:type="dxa" w:w="27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A resident (no APP)</w:t>
            </w:r>
          </w:p>
        </w:tc>
        <w:tc>
          <w:tcPr>
            <w:tcW w:type="dxa" w:w="3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Teaching physician's time only</w:t>
            </w:r>
          </w:p>
        </w:tc>
        <w:tc>
          <w:tcPr>
            <w:tcW w:type="dxa" w:w="2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Teaching physician</w:t>
            </w:r>
          </w:p>
        </w:tc>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GC</w:t>
            </w:r>
          </w:p>
        </w:tc>
      </w:tr>
      <w:tr>
        <w:tc>
          <w:tcPr>
            <w:tcW w:type="dxa" w:w="27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An APP in your group</w:t>
            </w:r>
          </w:p>
        </w:tc>
        <w:tc>
          <w:tcPr>
            <w:tcW w:type="dxa" w:w="3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Physician + APP minutes combined; &gt;50% = substantive</w:t>
            </w:r>
          </w:p>
        </w:tc>
        <w:tc>
          <w:tcPr>
            <w:tcW w:type="dxa" w:w="2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Whoever did the substantive portion</w:t>
            </w:r>
          </w:p>
        </w:tc>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FS</w:t>
            </w:r>
          </w:p>
        </w:tc>
      </w:tr>
      <w:tr>
        <w:tc>
          <w:tcPr>
            <w:tcW w:type="dxa" w:w="27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Both a resident and an APP</w:t>
            </w:r>
          </w:p>
        </w:tc>
        <w:tc>
          <w:tcPr>
            <w:tcW w:type="dxa" w:w="3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TP rules for the MD/resident; APP minutes combine per split/shared</w:t>
            </w:r>
          </w:p>
        </w:tc>
        <w:tc>
          <w:tcPr>
            <w:tcW w:type="dxa" w:w="2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Per the rows above</w:t>
            </w:r>
          </w:p>
        </w:tc>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GC and/or FS</w:t>
            </w:r>
          </w:p>
        </w:tc>
      </w:tr>
      <w:tr>
        <w:tc>
          <w:tcPr>
            <w:tcW w:type="dxa" w:w="27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A different-specialty physician</w:t>
            </w:r>
          </w:p>
        </w:tc>
        <w:tc>
          <w:tcPr>
            <w:tcW w:type="dxa" w:w="3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Each counts their own time</w:t>
            </w:r>
          </w:p>
        </w:tc>
        <w:tc>
          <w:tcPr>
            <w:tcW w:type="dxa" w:w="2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Each bills their own service</w:t>
            </w:r>
          </w:p>
        </w:tc>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(none)</w:t>
            </w:r>
          </w:p>
        </w:tc>
      </w:tr>
    </w:tbl>
    <w:p>
      <w:pPr>
        <w:spacing w:after="120"/>
      </w:pPr>
      <w:r>
        <w:rPr>
          <w:b w:val="false"/>
          <w:bCs w:val="false"/>
          <w:i/>
          <w:iCs/>
          <w:sz w:val="16"/>
          <w:szCs w:val="16"/>
        </w:rPr>
        <w:t xml:space="preserve">These are Medicare rules; commercial payers may differ. Split/shared substantive-portion definitions have shifted year to year — confirm current CMS and your MAC's policy.</w:t>
      </w:r>
    </w:p>
    <w:p>
      <w:r>
        <w:br w:type="page"/>
      </w:r>
    </w:p>
    <w:p>
      <w:pPr>
        <w:pStyle w:val="Heading1"/>
      </w:pPr>
      <w:r>
        <w:t xml:space="preserve">4. Critical Care RVU &amp; Reimbursement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4060"/>
        <w:gridCol w:w="1400"/>
        <w:gridCol w:w="1500"/>
        <w:gridCol w:w="1400"/>
      </w:tblGrid>
      <w:tr>
        <w:trPr>
          <w:tblHeader/>
        </w:trPr>
        <w:tc>
          <w:tcPr>
            <w:tcW w:type="dxa" w:w="10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CPT</w:t>
            </w:r>
          </w:p>
        </w:tc>
        <w:tc>
          <w:tcPr>
            <w:tcW w:type="dxa" w:w="406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Service</w:t>
            </w:r>
          </w:p>
        </w:tc>
        <w:tc>
          <w:tcPr>
            <w:tcW w:type="dxa" w:w="14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Work RVU</w:t>
            </w:r>
          </w:p>
        </w:tc>
        <w:tc>
          <w:tcPr>
            <w:tcW w:type="dxa" w:w="15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Total RVU (facility)</w:t>
            </w:r>
          </w:p>
        </w:tc>
        <w:tc>
          <w:tcPr>
            <w:tcW w:type="dxa" w:w="14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~Medicare (national)</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bCs/>
                <w:sz w:val="18"/>
                <w:szCs w:val="18"/>
              </w:rPr>
              <w:t xml:space="preserve">99291</w:t>
            </w:r>
          </w:p>
        </w:tc>
        <w:tc>
          <w:tcPr>
            <w:tcW w:type="dxa" w:w="40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Critical care, first 30–74 min</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bCs/>
                <w:sz w:val="18"/>
                <w:szCs w:val="18"/>
              </w:rPr>
              <w:t xml:space="preserve">4.50</w:t>
            </w:r>
          </w:p>
        </w:tc>
        <w:tc>
          <w:tcPr>
            <w:tcW w:type="dxa" w:w="15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5.96</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bCs/>
                <w:sz w:val="18"/>
                <w:szCs w:val="18"/>
              </w:rPr>
              <w:t xml:space="preserve">$199</w:t>
            </w:r>
          </w:p>
        </w:tc>
      </w:tr>
      <w:tr>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bCs/>
                <w:sz w:val="18"/>
                <w:szCs w:val="18"/>
              </w:rPr>
              <w:t xml:space="preserve">99292</w:t>
            </w:r>
          </w:p>
        </w:tc>
        <w:tc>
          <w:tcPr>
            <w:tcW w:type="dxa" w:w="40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Critical care, each addl 30 min (add-on)</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bCs/>
                <w:sz w:val="18"/>
                <w:szCs w:val="18"/>
              </w:rPr>
              <w:t xml:space="preserve">2.25</w:t>
            </w:r>
          </w:p>
        </w:tc>
        <w:tc>
          <w:tcPr>
            <w:tcW w:type="dxa" w:w="15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3.00</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bCs/>
                <w:sz w:val="18"/>
                <w:szCs w:val="18"/>
              </w:rPr>
              <w:t xml:space="preserve">$100</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99233</w:t>
            </w:r>
          </w:p>
        </w:tc>
        <w:tc>
          <w:tcPr>
            <w:tcW w:type="dxa" w:w="40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Subsequent care, high (comparison)</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2.00</w:t>
            </w:r>
          </w:p>
        </w:tc>
        <w:tc>
          <w:tcPr>
            <w:tcW w:type="dxa" w:w="15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2.93</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$98</w:t>
            </w:r>
          </w:p>
        </w:tc>
      </w:tr>
      <w:tr>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99232</w:t>
            </w:r>
          </w:p>
        </w:tc>
        <w:tc>
          <w:tcPr>
            <w:tcW w:type="dxa" w:w="40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Subsequent care, moderate (comparison)</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1.39</w:t>
            </w:r>
          </w:p>
        </w:tc>
        <w:tc>
          <w:tcPr>
            <w:tcW w:type="dxa" w:w="15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2.06</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$69</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99231</w:t>
            </w:r>
          </w:p>
        </w:tc>
        <w:tc>
          <w:tcPr>
            <w:tcW w:type="dxa" w:w="40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Subsequent care, low (comparison)</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1.00</w:t>
            </w:r>
          </w:p>
        </w:tc>
        <w:tc>
          <w:tcPr>
            <w:tcW w:type="dxa" w:w="15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1.51</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$50</w:t>
            </w:r>
          </w:p>
        </w:tc>
      </w:tr>
    </w:tbl>
    <w:p>
      <w:pPr>
        <w:spacing w:after="120"/>
      </w:pPr>
      <w:r>
        <w:rPr>
          <w:b w:val="false"/>
          <w:bCs w:val="false"/>
          <w:i/>
          <w:iCs/>
          <w:sz w:val="20"/>
          <w:szCs w:val="20"/>
        </w:rPr>
        <w:t xml:space="preserve">Worked example: 2 hours 10 min (130 min) of critical care = 99291 + 99292 × 2 = 4.50 + (2.25 × 2) = 9.00 wRVU ≈ $399 Medicare. The same day billed as 99233 would be 2.00 wRVU ≈ $98 — documenting time correctly is roughly a 4× difference.</w:t>
      </w:r>
    </w:p>
    <w:p>
      <w:r>
        <w:br w:type="page"/>
      </w:r>
    </w:p>
    <w:p>
      <w:pPr>
        <w:pStyle w:val="Heading1"/>
      </w:pPr>
      <w:r>
        <w:t xml:space="preserve">5. Procedure Billing</w:t>
      </w:r>
    </w:p>
    <w:p>
      <w:pPr>
        <w:spacing w:after="80"/>
      </w:pPr>
      <w:r>
        <w:rPr>
          <w:b w:val="false"/>
          <w:bCs w:val="false"/>
          <w:i w:val="false"/>
          <w:iCs w:val="false"/>
          <w:sz w:val="20"/>
          <w:szCs w:val="20"/>
        </w:rPr>
        <w:t xml:space="preserve">Most ICU procedures are separately payable in addition to critical care on the same day, but two things must be right: (1) attach the correct modifier so the payer doesn't bundle the procedure into the E&amp;M, and (2) carve the procedure time out of critical care minutes.</w:t>
      </w:r>
    </w:p>
    <w:p>
      <w:pPr>
        <w:pStyle w:val="Heading2"/>
      </w:pPr>
      <w:r>
        <w:t xml:space="preserve">Common ICU procedures — RVU &amp; payment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4360"/>
        <w:gridCol w:w="1300"/>
        <w:gridCol w:w="1300"/>
        <w:gridCol w:w="1400"/>
      </w:tblGrid>
      <w:tr>
        <w:trPr>
          <w:tblHeader/>
        </w:trPr>
        <w:tc>
          <w:tcPr>
            <w:tcW w:type="dxa" w:w="10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CPT</w:t>
            </w:r>
          </w:p>
        </w:tc>
        <w:tc>
          <w:tcPr>
            <w:tcW w:type="dxa" w:w="436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Procedure</w:t>
            </w:r>
          </w:p>
        </w:tc>
        <w:tc>
          <w:tcPr>
            <w:tcW w:type="dxa" w:w="13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Work RVU</w:t>
            </w:r>
          </w:p>
        </w:tc>
        <w:tc>
          <w:tcPr>
            <w:tcW w:type="dxa" w:w="13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Total RVU</w:t>
            </w:r>
          </w:p>
        </w:tc>
        <w:tc>
          <w:tcPr>
            <w:tcW w:type="dxa" w:w="14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~Medicare</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36556</w:t>
            </w:r>
          </w:p>
        </w:tc>
        <w:tc>
          <w:tcPr>
            <w:tcW w:type="dxa" w:w="4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Central venous catheter, non-tunneled, age ≥5</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1.71</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2.32</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$77</w:t>
            </w:r>
          </w:p>
        </w:tc>
      </w:tr>
      <w:tr>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36620</w:t>
            </w:r>
          </w:p>
        </w:tc>
        <w:tc>
          <w:tcPr>
            <w:tcW w:type="dxa" w:w="4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Arterial line, percutaneous</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0.98</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1.22</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$41</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36569</w:t>
            </w:r>
          </w:p>
        </w:tc>
        <w:tc>
          <w:tcPr>
            <w:tcW w:type="dxa" w:w="4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PICC, age ≥5, without imaging</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1.85</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2.58</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$86</w:t>
            </w:r>
          </w:p>
        </w:tc>
      </w:tr>
      <w:tr>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36573</w:t>
            </w:r>
          </w:p>
        </w:tc>
        <w:tc>
          <w:tcPr>
            <w:tcW w:type="dxa" w:w="4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PICC, age ≥5, with imaging guidance</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1.66</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2.16</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$72</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31500</w:t>
            </w:r>
          </w:p>
        </w:tc>
        <w:tc>
          <w:tcPr>
            <w:tcW w:type="dxa" w:w="4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Emergency endotracheal intubation</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2.93</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3.98</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$133</w:t>
            </w:r>
          </w:p>
        </w:tc>
      </w:tr>
      <w:tr>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92950</w:t>
            </w:r>
          </w:p>
        </w:tc>
        <w:tc>
          <w:tcPr>
            <w:tcW w:type="dxa" w:w="4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Cardiopulmonary resuscitation (CPR)</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3.90</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5.10</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$170</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32551</w:t>
            </w:r>
          </w:p>
        </w:tc>
        <w:tc>
          <w:tcPr>
            <w:tcW w:type="dxa" w:w="4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Tube thoracostomy (chest tube)</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2.96</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4.28</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$143</w:t>
            </w:r>
          </w:p>
        </w:tc>
      </w:tr>
      <w:tr>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32554</w:t>
            </w:r>
          </w:p>
        </w:tc>
        <w:tc>
          <w:tcPr>
            <w:tcW w:type="dxa" w:w="4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Thoracentesis, without imaging</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1.77</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2.37</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$79</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32555</w:t>
            </w:r>
          </w:p>
        </w:tc>
        <w:tc>
          <w:tcPr>
            <w:tcW w:type="dxa" w:w="4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Thoracentesis, with imaging guidance</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2.21</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2.81</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$94</w:t>
            </w:r>
          </w:p>
        </w:tc>
      </w:tr>
      <w:tr>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49082</w:t>
            </w:r>
          </w:p>
        </w:tc>
        <w:tc>
          <w:tcPr>
            <w:tcW w:type="dxa" w:w="4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Paracentesis, without imaging</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1.21</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2.13</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$71</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49083</w:t>
            </w:r>
          </w:p>
        </w:tc>
        <w:tc>
          <w:tcPr>
            <w:tcW w:type="dxa" w:w="4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Paracentesis, with imaging guidance</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1.95</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2.78</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$93</w:t>
            </w:r>
          </w:p>
        </w:tc>
      </w:tr>
      <w:tr>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62270</w:t>
            </w:r>
          </w:p>
        </w:tc>
        <w:tc>
          <w:tcPr>
            <w:tcW w:type="dxa" w:w="4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Diagnostic lumbar puncture</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1.19</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1.76</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$59</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92960</w:t>
            </w:r>
          </w:p>
        </w:tc>
        <w:tc>
          <w:tcPr>
            <w:tcW w:type="dxa" w:w="4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Elective external cardioversion</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1.95</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2.84</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$95</w:t>
            </w:r>
          </w:p>
        </w:tc>
      </w:tr>
      <w:tr>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31622</w:t>
            </w:r>
          </w:p>
        </w:tc>
        <w:tc>
          <w:tcPr>
            <w:tcW w:type="dxa" w:w="4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Diagnostic bronchoscopy / washing</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2.47</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3.60</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$120</w:t>
            </w:r>
          </w:p>
        </w:tc>
      </w:tr>
      <w:tr>
        <w:tc>
          <w:tcPr>
            <w:tcW w:type="dxa" w:w="1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33210</w:t>
            </w:r>
          </w:p>
        </w:tc>
        <w:tc>
          <w:tcPr>
            <w:tcW w:type="dxa" w:w="4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Temporary transvenous pacemaker insertion</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2.97</w:t>
            </w:r>
          </w:p>
        </w:tc>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4.21</w:t>
            </w:r>
          </w:p>
        </w:tc>
        <w:tc>
          <w:tcPr>
            <w:tcW w:type="dxa" w:w="14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$141</w:t>
            </w:r>
          </w:p>
        </w:tc>
      </w:tr>
      <w:tr>
        <w:tc>
          <w:tcPr>
            <w:tcW w:type="dxa" w:w="1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93503</w:t>
            </w:r>
          </w:p>
        </w:tc>
        <w:tc>
          <w:tcPr>
            <w:tcW w:type="dxa" w:w="4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Swan-Ganz / PA catheter insertion</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1.95</w:t>
            </w:r>
          </w:p>
        </w:tc>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2.44</w:t>
            </w:r>
          </w:p>
        </w:tc>
        <w:tc>
          <w:tcPr>
            <w:tcW w:type="dxa" w:w="14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$82</w:t>
            </w:r>
          </w:p>
        </w:tc>
      </w:tr>
    </w:tbl>
    <w:p>
      <w:pPr>
        <w:spacing w:after="120"/>
      </w:pPr>
      <w:r>
        <w:rPr>
          <w:b w:val="false"/>
          <w:bCs w:val="false"/>
          <w:i/>
          <w:iCs/>
          <w:sz w:val="16"/>
          <w:szCs w:val="16"/>
        </w:rPr>
        <w:t xml:space="preserve">Values: CY2026 Medicare PFS, national/unadjusted, total facility RVU × $33.40. Verify against the CMS PFS Look-Up Tool before clinical/contract use — PE differs facility vs. non-facility for some codes.</w:t>
      </w:r>
    </w:p>
    <w:p>
      <w:pPr>
        <w:pStyle w:val="Heading2"/>
      </w:pPr>
      <w:r>
        <w:t xml:space="preserve">Necessary elements of a billable procedure note</w:t>
      </w:r>
    </w:p>
    <w:p>
      <w:pPr>
        <w:spacing w:after="60"/>
      </w:pPr>
      <w:r>
        <w:rPr>
          <w:b w:val="false"/>
          <w:bCs w:val="false"/>
          <w:i w:val="false"/>
          <w:iCs w:val="false"/>
          <w:sz w:val="20"/>
          <w:szCs w:val="20"/>
        </w:rPr>
        <w:t xml:space="preserve">A procedure that isn't documented to this standard is a procedure that doesn't get paid (or survives an audit). Every note should contain:</w:t>
      </w:r>
    </w:p>
    <w:p>
      <w:pPr>
        <w:pStyle w:val="ListParagraph"/>
        <w:numPr>
          <w:ilvl w:val="0"/>
          <w:numId w:val="2"/>
        </w:numPr>
        <w:spacing w:after="60"/>
      </w:pPr>
      <w:r>
        <w:rPr>
          <w:b/>
          <w:bCs/>
          <w:i w:val="false"/>
          <w:iCs w:val="false"/>
          <w:sz w:val="20"/>
          <w:szCs w:val="20"/>
        </w:rPr>
        <w:t xml:space="preserve">Indication / medical necessity </w:t>
      </w:r>
      <w:r>
        <w:rPr>
          <w:b w:val="false"/>
          <w:bCs w:val="false"/>
          <w:i w:val="false"/>
          <w:iCs w:val="false"/>
          <w:sz w:val="20"/>
          <w:szCs w:val="20"/>
        </w:rPr>
        <w:t xml:space="preserve">— why the procedure was needed now.</w:t>
      </w:r>
    </w:p>
    <w:p>
      <w:pPr>
        <w:pStyle w:val="ListParagraph"/>
        <w:numPr>
          <w:ilvl w:val="0"/>
          <w:numId w:val="2"/>
        </w:numPr>
        <w:spacing w:after="60"/>
      </w:pPr>
      <w:r>
        <w:rPr>
          <w:b/>
          <w:bCs/>
          <w:i w:val="false"/>
          <w:iCs w:val="false"/>
          <w:sz w:val="20"/>
          <w:szCs w:val="20"/>
        </w:rPr>
        <w:t xml:space="preserve">Informed consent </w:t>
      </w:r>
      <w:r>
        <w:rPr>
          <w:b w:val="false"/>
          <w:bCs w:val="false"/>
          <w:i w:val="false"/>
          <w:iCs w:val="false"/>
          <w:sz w:val="20"/>
          <w:szCs w:val="20"/>
        </w:rPr>
        <w:t xml:space="preserve">— obtained (or documented emergency exception).</w:t>
      </w:r>
    </w:p>
    <w:p>
      <w:pPr>
        <w:pStyle w:val="ListParagraph"/>
        <w:numPr>
          <w:ilvl w:val="0"/>
          <w:numId w:val="2"/>
        </w:numPr>
        <w:spacing w:after="60"/>
      </w:pPr>
      <w:r>
        <w:rPr>
          <w:b/>
          <w:bCs/>
          <w:i w:val="false"/>
          <w:iCs w:val="false"/>
          <w:sz w:val="20"/>
          <w:szCs w:val="20"/>
        </w:rPr>
        <w:t xml:space="preserve">Time-out / patient identification </w:t>
      </w:r>
      <w:r>
        <w:rPr>
          <w:b w:val="false"/>
          <w:bCs w:val="false"/>
          <w:i w:val="false"/>
          <w:iCs w:val="false"/>
          <w:sz w:val="20"/>
          <w:szCs w:val="20"/>
        </w:rPr>
        <w:t xml:space="preserve">for invasive procedures, per facility policy.</w:t>
      </w:r>
    </w:p>
    <w:p>
      <w:pPr>
        <w:pStyle w:val="ListParagraph"/>
        <w:numPr>
          <w:ilvl w:val="0"/>
          <w:numId w:val="2"/>
        </w:numPr>
        <w:spacing w:after="60"/>
      </w:pPr>
      <w:r>
        <w:rPr>
          <w:b/>
          <w:bCs/>
          <w:i w:val="false"/>
          <w:iCs w:val="false"/>
          <w:sz w:val="20"/>
          <w:szCs w:val="20"/>
        </w:rPr>
        <w:t xml:space="preserve">Technique &amp; site </w:t>
      </w:r>
      <w:r>
        <w:rPr>
          <w:b w:val="false"/>
          <w:bCs w:val="false"/>
          <w:i w:val="false"/>
          <w:iCs w:val="false"/>
          <w:sz w:val="20"/>
          <w:szCs w:val="20"/>
        </w:rPr>
        <w:t xml:space="preserve">— approach, laterality, anatomic site, anesthesia/prep, image guidance if used (and whether guidance is separately coded or bundled).</w:t>
      </w:r>
    </w:p>
    <w:p>
      <w:pPr>
        <w:pStyle w:val="ListParagraph"/>
        <w:numPr>
          <w:ilvl w:val="0"/>
          <w:numId w:val="2"/>
        </w:numPr>
        <w:spacing w:after="60"/>
      </w:pPr>
      <w:r>
        <w:rPr>
          <w:b/>
          <w:bCs/>
          <w:i w:val="false"/>
          <w:iCs w:val="false"/>
          <w:sz w:val="20"/>
          <w:szCs w:val="20"/>
        </w:rPr>
        <w:t xml:space="preserve">Findings &amp; specimens, </w:t>
      </w:r>
      <w:r>
        <w:rPr>
          <w:b w:val="false"/>
          <w:bCs w:val="false"/>
          <w:i w:val="false"/>
          <w:iCs w:val="false"/>
          <w:sz w:val="20"/>
          <w:szCs w:val="20"/>
        </w:rPr>
        <w:t xml:space="preserve">estimated blood loss, devices/catheters placed (size, depth, confirmation — e.g. CXR for line position).</w:t>
      </w:r>
    </w:p>
    <w:p>
      <w:pPr>
        <w:pStyle w:val="ListParagraph"/>
        <w:numPr>
          <w:ilvl w:val="0"/>
          <w:numId w:val="2"/>
        </w:numPr>
        <w:spacing w:after="60"/>
      </w:pPr>
      <w:r>
        <w:rPr>
          <w:b/>
          <w:bCs/>
          <w:i w:val="false"/>
          <w:iCs w:val="false"/>
          <w:sz w:val="20"/>
          <w:szCs w:val="20"/>
        </w:rPr>
        <w:t xml:space="preserve">Complications </w:t>
      </w:r>
      <w:r>
        <w:rPr>
          <w:b w:val="false"/>
          <w:bCs w:val="false"/>
          <w:i w:val="false"/>
          <w:iCs w:val="false"/>
          <w:sz w:val="20"/>
          <w:szCs w:val="20"/>
        </w:rPr>
        <w:t xml:space="preserve">(or explicit “none”) and immediate post-procedure status.</w:t>
      </w:r>
    </w:p>
    <w:p>
      <w:pPr>
        <w:pStyle w:val="ListParagraph"/>
        <w:numPr>
          <w:ilvl w:val="0"/>
          <w:numId w:val="2"/>
        </w:numPr>
        <w:spacing w:after="60"/>
      </w:pPr>
      <w:r>
        <w:rPr>
          <w:b/>
          <w:bCs/>
          <w:i w:val="false"/>
          <w:iCs w:val="false"/>
          <w:sz w:val="20"/>
          <w:szCs w:val="20"/>
        </w:rPr>
        <w:t xml:space="preserve">Provider attestation </w:t>
      </w:r>
      <w:r>
        <w:rPr>
          <w:b w:val="false"/>
          <w:bCs w:val="false"/>
          <w:i w:val="false"/>
          <w:iCs w:val="false"/>
          <w:sz w:val="20"/>
          <w:szCs w:val="20"/>
        </w:rPr>
        <w:t xml:space="preserve">— who performed it; supervision/teaching-physician statement if a trainee was involved.</w:t>
      </w:r>
    </w:p>
    <w:p>
      <w:pPr>
        <w:pStyle w:val="ListParagraph"/>
        <w:numPr>
          <w:ilvl w:val="0"/>
          <w:numId w:val="2"/>
        </w:numPr>
        <w:spacing w:after="60"/>
      </w:pPr>
      <w:r>
        <w:rPr>
          <w:b/>
          <w:bCs/>
          <w:i w:val="false"/>
          <w:iCs w:val="false"/>
          <w:sz w:val="20"/>
          <w:szCs w:val="20"/>
        </w:rPr>
        <w:t xml:space="preserve">Time statement </w:t>
      </w:r>
      <w:r>
        <w:rPr>
          <w:b w:val="false"/>
          <w:bCs w:val="false"/>
          <w:i w:val="false"/>
          <w:iCs w:val="false"/>
          <w:sz w:val="20"/>
          <w:szCs w:val="20"/>
        </w:rPr>
        <w:t xml:space="preserve">confirming procedure time was excluded from critical care minutes.</w:t>
      </w:r>
    </w:p>
    <w:p>
      <w:pPr>
        <w:pStyle w:val="Heading2"/>
      </w:pPr>
      <w:r>
        <w:t xml:space="preserve">Modifiers that matter in the ICU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rPr>
          <w:tblHeader/>
        </w:trPr>
        <w:tc>
          <w:tcPr>
            <w:tcW w:type="dxa" w:w="20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Modifier</w:t>
            </w:r>
          </w:p>
        </w:tc>
        <w:tc>
          <w:tcPr>
            <w:tcW w:type="dxa" w:w="736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Use it when</w:t>
            </w:r>
          </w:p>
        </w:tc>
      </w:tr>
      <w:tr>
        <w:tc>
          <w:tcPr>
            <w:tcW w:type="dxa" w:w="2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bCs/>
                <w:sz w:val="18"/>
                <w:szCs w:val="18"/>
              </w:rPr>
              <w:t xml:space="preserve">-25</w:t>
            </w:r>
          </w:p>
        </w:tc>
        <w:tc>
          <w:tcPr>
            <w:tcW w:type="dxa" w:w="7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A significant, separately identifiable E&amp;M (e.g., critical care 99291) is performed on the same day as a procedure. Append to the E&amp;M code so it isn't bundled into the procedure.</w:t>
            </w:r>
          </w:p>
        </w:tc>
      </w:tr>
      <w:tr>
        <w:tc>
          <w:tcPr>
            <w:tcW w:type="dxa" w:w="2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bCs/>
                <w:sz w:val="18"/>
                <w:szCs w:val="18"/>
              </w:rPr>
              <w:t xml:space="preserve">-59 (or XE/XS/XU)</w:t>
            </w:r>
          </w:p>
        </w:tc>
        <w:tc>
          <w:tcPr>
            <w:tcW w:type="dxa" w:w="7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Two procedures normally bundled (per NCCI edits) were distinct — separate sites, sessions, or organ systems. Use the specific X{EPSU} modifier where required.</w:t>
            </w:r>
          </w:p>
        </w:tc>
      </w:tr>
      <w:tr>
        <w:tc>
          <w:tcPr>
            <w:tcW w:type="dxa" w:w="2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bCs/>
                <w:sz w:val="18"/>
                <w:szCs w:val="18"/>
              </w:rPr>
              <w:t xml:space="preserve">-76 / -77</w:t>
            </w:r>
          </w:p>
        </w:tc>
        <w:tc>
          <w:tcPr>
            <w:tcW w:type="dxa" w:w="7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Repeat procedure by same (-76) or different (-77) physician (e.g., repeat cardioversion).</w:t>
            </w:r>
          </w:p>
        </w:tc>
      </w:tr>
      <w:tr>
        <w:tc>
          <w:tcPr>
            <w:tcW w:type="dxa" w:w="20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bCs/>
                <w:sz w:val="18"/>
                <w:szCs w:val="18"/>
              </w:rPr>
              <w:t xml:space="preserve">-22</w:t>
            </w:r>
          </w:p>
        </w:tc>
        <w:tc>
          <w:tcPr>
            <w:tcW w:type="dxa" w:w="73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Substantially greater work than typical; requires a note explaining the added complexity.</w:t>
            </w:r>
          </w:p>
        </w:tc>
      </w:tr>
      <w:tr>
        <w:tc>
          <w:tcPr>
            <w:tcW w:type="dxa" w:w="20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bCs/>
                <w:sz w:val="18"/>
                <w:szCs w:val="18"/>
              </w:rPr>
              <w:t xml:space="preserve">-26</w:t>
            </w:r>
          </w:p>
        </w:tc>
        <w:tc>
          <w:tcPr>
            <w:tcW w:type="dxa" w:w="73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Professional component only (interpretation), when the facility owns the equipment/technical component.</w:t>
            </w:r>
          </w:p>
        </w:tc>
      </w:tr>
    </w:tbl>
    <w:p>
      <w:pPr>
        <w:spacing w:after="120"/>
      </w:pPr>
      <w:r>
        <w:rPr>
          <w:b w:val="false"/>
          <w:bCs w:val="false"/>
          <w:i/>
          <w:iCs/>
          <w:sz w:val="20"/>
          <w:szCs w:val="20"/>
        </w:rPr>
        <w:t xml:space="preserve">Global periods: most ICU bedside procedures carry a 000-day global (no bundled follow-up), so same-day critical care with -25 is generally payable. Always check NCCI edits for the specific pair before assuming separate payment.</w:t>
      </w:r>
    </w:p>
    <w:p>
      <w:r>
        <w:br w:type="page"/>
      </w:r>
    </w:p>
    <w:p>
      <w:pPr>
        <w:pStyle w:val="Heading1"/>
      </w:pPr>
      <w:r>
        <w:t xml:space="preserve">6. Common ICU Diagnoses (ICD-10) &amp; Specificity</w:t>
      </w:r>
    </w:p>
    <w:p>
      <w:pPr>
        <w:spacing w:after="80"/>
      </w:pPr>
      <w:r>
        <w:rPr>
          <w:b w:val="false"/>
          <w:bCs w:val="false"/>
          <w:i/>
          <w:iCs/>
          <w:sz w:val="20"/>
          <w:szCs w:val="20"/>
        </w:rPr>
        <w:t xml:space="preserve">Reminder: these codes do not add professional wRVUs. They establish medical necessity for your E&amp;M/procedures and drive the facility DRG/severity (CC/MCC). The specificity tips below are where documentation directly changes facility reimbursement.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3460"/>
        <w:gridCol w:w="4600"/>
      </w:tblGrid>
      <w:tr>
        <w:trPr>
          <w:tblHeader/>
        </w:trPr>
        <w:tc>
          <w:tcPr>
            <w:tcW w:type="dxa" w:w="13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ICD-10</w:t>
            </w:r>
          </w:p>
        </w:tc>
        <w:tc>
          <w:tcPr>
            <w:tcW w:type="dxa" w:w="346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Diagnosis</w:t>
            </w:r>
          </w:p>
        </w:tc>
        <w:tc>
          <w:tcPr>
            <w:tcW w:type="dxa" w:w="4600"/>
            <w:tcBorders>
              <w:top w:val="single" w:color="B7C6DA" w:sz="1"/>
              <w:left w:val="single" w:color="B7C6DA" w:sz="1"/>
              <w:bottom w:val="single" w:color="B7C6DA" w:sz="1"/>
              <w:right w:val="single" w:color="B7C6DA" w:sz="1"/>
            </w:tcBorders>
            <w:shd w:fill="1F3864" w:val="clear"/>
            <w:tcMar>
              <w:top w:type="dxa" w:w="60"/>
              <w:left w:type="dxa" w:w="110"/>
              <w:bottom w:type="dxa" w:w="60"/>
              <w:right w:type="dxa" w:w="110"/>
            </w:tcMar>
            <w:vAlign w:val="center"/>
          </w:tcPr>
          <w:p>
            <w:r>
              <w:rPr>
                <w:b/>
                <w:bCs/>
                <w:color w:val="FFFFFF"/>
                <w:sz w:val="18"/>
                <w:szCs w:val="18"/>
              </w:rPr>
              <w:t xml:space="preserve">Specificity / documentation tip</w:t>
            </w:r>
          </w:p>
        </w:tc>
      </w:tr>
      <w:tr>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R65.20</w:t>
            </w:r>
          </w:p>
        </w:tc>
        <w:tc>
          <w:tcPr>
            <w:tcW w:type="dxa" w:w="34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Severe sepsis without septic shock</w:t>
            </w:r>
          </w:p>
        </w:tc>
        <w:tc>
          <w:tcPr>
            <w:tcW w:type="dxa" w:w="4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Code the underlying infection + the organ dysfunction(s). “Sepsis” alone misses severity.</w:t>
            </w:r>
          </w:p>
        </w:tc>
      </w:tr>
      <w:tr>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R65.21</w:t>
            </w:r>
          </w:p>
        </w:tc>
        <w:tc>
          <w:tcPr>
            <w:tcW w:type="dxa" w:w="34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Severe sepsis with septic shock</w:t>
            </w:r>
          </w:p>
        </w:tc>
        <w:tc>
          <w:tcPr>
            <w:tcW w:type="dxa" w:w="4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Document shock + organ dysfunction; high-severity MCC driver.</w:t>
            </w:r>
          </w:p>
        </w:tc>
      </w:tr>
      <w:tr>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A41.9</w:t>
            </w:r>
          </w:p>
        </w:tc>
        <w:tc>
          <w:tcPr>
            <w:tcW w:type="dxa" w:w="34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Sepsis, unspecified organism</w:t>
            </w:r>
          </w:p>
        </w:tc>
        <w:tc>
          <w:tcPr>
            <w:tcW w:type="dxa" w:w="4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Name the organism/source when known (e.g., A41.51 E. coli).</w:t>
            </w:r>
          </w:p>
        </w:tc>
      </w:tr>
      <w:tr>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J96.00</w:t>
            </w:r>
          </w:p>
        </w:tc>
        <w:tc>
          <w:tcPr>
            <w:tcW w:type="dxa" w:w="34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Acute respiratory failure, unspec.</w:t>
            </w:r>
          </w:p>
        </w:tc>
        <w:tc>
          <w:tcPr>
            <w:tcW w:type="dxa" w:w="4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Always specify hypoxic (J96.01) vs hypercapnic (J96.02); acute-on-chronic = J96.2x.</w:t>
            </w:r>
          </w:p>
        </w:tc>
      </w:tr>
      <w:tr>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J96.01</w:t>
            </w:r>
          </w:p>
        </w:tc>
        <w:tc>
          <w:tcPr>
            <w:tcW w:type="dxa" w:w="34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Acute respiratory failure with hypoxia</w:t>
            </w:r>
          </w:p>
        </w:tc>
        <w:tc>
          <w:tcPr>
            <w:tcW w:type="dxa" w:w="4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Specifying hypoxia/hypercapnia supports vent management &amp; severity.</w:t>
            </w:r>
          </w:p>
        </w:tc>
      </w:tr>
      <w:tr>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J80</w:t>
            </w:r>
          </w:p>
        </w:tc>
        <w:tc>
          <w:tcPr>
            <w:tcW w:type="dxa" w:w="34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ARDS</w:t>
            </w:r>
          </w:p>
        </w:tc>
        <w:tc>
          <w:tcPr>
            <w:tcW w:type="dxa" w:w="4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Document precipitant (sepsis, aspiration, trauma).</w:t>
            </w:r>
          </w:p>
        </w:tc>
      </w:tr>
      <w:tr>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I46.9</w:t>
            </w:r>
          </w:p>
        </w:tc>
        <w:tc>
          <w:tcPr>
            <w:tcW w:type="dxa" w:w="34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Cardiac arrest, cause unspecified</w:t>
            </w:r>
          </w:p>
        </w:tc>
        <w:tc>
          <w:tcPr>
            <w:tcW w:type="dxa" w:w="4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Specify cause if known; pair with CPR (92950).</w:t>
            </w:r>
          </w:p>
        </w:tc>
      </w:tr>
      <w:tr>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R57.0</w:t>
            </w:r>
          </w:p>
        </w:tc>
        <w:tc>
          <w:tcPr>
            <w:tcW w:type="dxa" w:w="34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Cardiogenic shock</w:t>
            </w:r>
          </w:p>
        </w:tc>
        <w:tc>
          <w:tcPr>
            <w:tcW w:type="dxa" w:w="4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Distinguish from R57.1 hypovolemic, R57.9 unspecified — each is an MCC.</w:t>
            </w:r>
          </w:p>
        </w:tc>
      </w:tr>
      <w:tr>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N17.9</w:t>
            </w:r>
          </w:p>
        </w:tc>
        <w:tc>
          <w:tcPr>
            <w:tcW w:type="dxa" w:w="34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Acute kidney injury</w:t>
            </w:r>
          </w:p>
        </w:tc>
        <w:tc>
          <w:tcPr>
            <w:tcW w:type="dxa" w:w="4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State etiology (e.g., ATN N17.0) and dialysis need.</w:t>
            </w:r>
          </w:p>
        </w:tc>
      </w:tr>
      <w:tr>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I21.9</w:t>
            </w:r>
          </w:p>
        </w:tc>
        <w:tc>
          <w:tcPr>
            <w:tcW w:type="dxa" w:w="34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Acute MI, unspecified</w:t>
            </w:r>
          </w:p>
        </w:tc>
        <w:tc>
          <w:tcPr>
            <w:tcW w:type="dxa" w:w="4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Specify STEMI vs NSTEMI and site (I21.0–I21.4) for accuracy.</w:t>
            </w:r>
          </w:p>
        </w:tc>
      </w:tr>
      <w:tr>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I50.21/.23</w:t>
            </w:r>
          </w:p>
        </w:tc>
        <w:tc>
          <w:tcPr>
            <w:tcW w:type="dxa" w:w="34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Acute / acute-on-chronic systolic HF</w:t>
            </w:r>
          </w:p>
        </w:tc>
        <w:tc>
          <w:tcPr>
            <w:tcW w:type="dxa" w:w="4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Always document acute vs chronic and systolic/diastolic — changes CC/MCC.</w:t>
            </w:r>
          </w:p>
        </w:tc>
      </w:tr>
      <w:tr>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E87.2</w:t>
            </w:r>
          </w:p>
        </w:tc>
        <w:tc>
          <w:tcPr>
            <w:tcW w:type="dxa" w:w="34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Acidosis</w:t>
            </w:r>
          </w:p>
        </w:tc>
        <w:tc>
          <w:tcPr>
            <w:tcW w:type="dxa" w:w="4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Specify metabolic/lactic where applicable; link to cause.</w:t>
            </w:r>
          </w:p>
        </w:tc>
      </w:tr>
      <w:tr>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G93.41</w:t>
            </w:r>
          </w:p>
        </w:tc>
        <w:tc>
          <w:tcPr>
            <w:tcW w:type="dxa" w:w="34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Metabolic encephalopathy</w:t>
            </w:r>
          </w:p>
        </w:tc>
        <w:tc>
          <w:tcPr>
            <w:tcW w:type="dxa" w:w="4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Distinguish toxic (G92.x), hepatic (K72.x), septic; not “altered mental status.”</w:t>
            </w:r>
          </w:p>
        </w:tc>
      </w:tr>
      <w:tr>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E11.10 / E10.10</w:t>
            </w:r>
          </w:p>
        </w:tc>
        <w:tc>
          <w:tcPr>
            <w:tcW w:type="dxa" w:w="34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Diabetic ketoacidosis (type 2 / type 1)</w:t>
            </w:r>
          </w:p>
        </w:tc>
        <w:tc>
          <w:tcPr>
            <w:tcW w:type="dxa" w:w="4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Specify type and whether coma is present (.11).</w:t>
            </w:r>
          </w:p>
        </w:tc>
      </w:tr>
      <w:tr>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K92.2</w:t>
            </w:r>
          </w:p>
        </w:tc>
        <w:tc>
          <w:tcPr>
            <w:tcW w:type="dxa" w:w="34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GI hemorrhage, unspecified</w:t>
            </w:r>
          </w:p>
        </w:tc>
        <w:tc>
          <w:tcPr>
            <w:tcW w:type="dxa" w:w="4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Localize source (e.g., K25.x ulcer w/ hemorrhage) when known.</w:t>
            </w:r>
          </w:p>
        </w:tc>
      </w:tr>
      <w:tr>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I26.99</w:t>
            </w:r>
          </w:p>
        </w:tc>
        <w:tc>
          <w:tcPr>
            <w:tcW w:type="dxa" w:w="34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Pulmonary embolism w/o acute cor pulmonale</w:t>
            </w:r>
          </w:p>
        </w:tc>
        <w:tc>
          <w:tcPr>
            <w:tcW w:type="dxa" w:w="4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Use I26.0x if acute cor pulmonale/RV strain present.</w:t>
            </w:r>
          </w:p>
        </w:tc>
      </w:tr>
      <w:tr>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J18.9</w:t>
            </w:r>
          </w:p>
        </w:tc>
        <w:tc>
          <w:tcPr>
            <w:tcW w:type="dxa" w:w="34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Pneumonia, unspecified organism</w:t>
            </w:r>
          </w:p>
        </w:tc>
        <w:tc>
          <w:tcPr>
            <w:tcW w:type="dxa" w:w="4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Name organism (J15.x) or aspiration (J69.0) when identified.</w:t>
            </w:r>
          </w:p>
        </w:tc>
      </w:tr>
      <w:tr>
        <w:tc>
          <w:tcPr>
            <w:tcW w:type="dxa" w:w="13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G40.911</w:t>
            </w:r>
          </w:p>
        </w:tc>
        <w:tc>
          <w:tcPr>
            <w:tcW w:type="dxa" w:w="346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Status epilepticus, intractable</w:t>
            </w:r>
          </w:p>
        </w:tc>
        <w:tc>
          <w:tcPr>
            <w:tcW w:type="dxa" w:w="4600"/>
            <w:tcBorders>
              <w:top w:val="single" w:color="B7C6DA" w:sz="1"/>
              <w:left w:val="single" w:color="B7C6DA" w:sz="1"/>
              <w:bottom w:val="single" w:color="B7C6DA" w:sz="1"/>
              <w:right w:val="single" w:color="B7C6DA" w:sz="1"/>
            </w:tcBorders>
            <w:shd w:fill="EAF1F8" w:val="clear"/>
            <w:tcMar>
              <w:top w:type="dxa" w:w="60"/>
              <w:left w:type="dxa" w:w="110"/>
              <w:bottom w:type="dxa" w:w="60"/>
              <w:right w:type="dxa" w:w="110"/>
            </w:tcMar>
            <w:vAlign w:val="center"/>
          </w:tcPr>
          <w:p>
            <w:r>
              <w:rPr>
                <w:b w:val="false"/>
                <w:bCs w:val="false"/>
                <w:sz w:val="18"/>
                <w:szCs w:val="18"/>
              </w:rPr>
              <w:t xml:space="preserve">Document refractory/intractable status — raises severity.</w:t>
            </w:r>
          </w:p>
        </w:tc>
      </w:tr>
      <w:tr>
        <w:tc>
          <w:tcPr>
            <w:tcW w:type="dxa" w:w="13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K85.90</w:t>
            </w:r>
          </w:p>
        </w:tc>
        <w:tc>
          <w:tcPr>
            <w:tcW w:type="dxa" w:w="346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Acute pancreatitis, unspecified</w:t>
            </w:r>
          </w:p>
        </w:tc>
        <w:tc>
          <w:tcPr>
            <w:tcW w:type="dxa" w:w="4600"/>
            <w:tcBorders>
              <w:top w:val="single" w:color="B7C6DA" w:sz="1"/>
              <w:left w:val="single" w:color="B7C6DA" w:sz="1"/>
              <w:bottom w:val="single" w:color="B7C6DA" w:sz="1"/>
              <w:right w:val="single" w:color="B7C6DA" w:sz="1"/>
            </w:tcBorders>
            <w:shd w:fill="FFFFFF" w:val="clear"/>
            <w:tcMar>
              <w:top w:type="dxa" w:w="60"/>
              <w:left w:type="dxa" w:w="110"/>
              <w:bottom w:type="dxa" w:w="60"/>
              <w:right w:type="dxa" w:w="110"/>
            </w:tcMar>
            <w:vAlign w:val="center"/>
          </w:tcPr>
          <w:p>
            <w:r>
              <w:rPr>
                <w:b w:val="false"/>
                <w:bCs w:val="false"/>
                <w:sz w:val="18"/>
                <w:szCs w:val="18"/>
              </w:rPr>
              <w:t xml:space="preserve">Specify etiology and necrosis if present.</w:t>
            </w:r>
          </w:p>
        </w:tc>
      </w:tr>
    </w:tbl>
    <w:p>
      <w:pPr>
        <w:pStyle w:val="Heading2"/>
      </w:pPr>
      <w:r>
        <w:t xml:space="preserve">Documentation specificity — the high-yield habits</w:t>
      </w:r>
    </w:p>
    <w:p>
      <w:pPr>
        <w:pStyle w:val="ListParagraph"/>
        <w:numPr>
          <w:ilvl w:val="0"/>
          <w:numId w:val="2"/>
        </w:numPr>
        <w:spacing w:after="60"/>
      </w:pPr>
      <w:r>
        <w:rPr>
          <w:sz w:val="20"/>
          <w:szCs w:val="20"/>
        </w:rPr>
        <w:t xml:space="preserve">Always state acute vs. chronic vs. acute-on-chronic (respiratory failure, heart failure, renal failure).</w:t>
      </w:r>
    </w:p>
    <w:p>
      <w:pPr>
        <w:pStyle w:val="ListParagraph"/>
        <w:numPr>
          <w:ilvl w:val="0"/>
          <w:numId w:val="2"/>
        </w:numPr>
        <w:spacing w:after="60"/>
      </w:pPr>
      <w:r>
        <w:rPr>
          <w:sz w:val="20"/>
          <w:szCs w:val="20"/>
        </w:rPr>
        <w:t xml:space="preserve">Link the diagnosis to its cause and to the organ dysfunction (“sepsis due to pneumonia with acute hypoxic respiratory failure and AKI”).</w:t>
      </w:r>
    </w:p>
    <w:p>
      <w:pPr>
        <w:pStyle w:val="ListParagraph"/>
        <w:numPr>
          <w:ilvl w:val="0"/>
          <w:numId w:val="2"/>
        </w:numPr>
        <w:spacing w:after="60"/>
      </w:pPr>
      <w:r>
        <w:rPr>
          <w:sz w:val="20"/>
          <w:szCs w:val="20"/>
        </w:rPr>
        <w:t xml:space="preserve">Name organisms, sites, laterality, and types whenever known — unspecified codes routinely cost severity weight.</w:t>
      </w:r>
    </w:p>
    <w:p>
      <w:pPr>
        <w:pStyle w:val="ListParagraph"/>
        <w:numPr>
          <w:ilvl w:val="0"/>
          <w:numId w:val="2"/>
        </w:numPr>
        <w:spacing w:after="60"/>
      </w:pPr>
      <w:r>
        <w:rPr>
          <w:sz w:val="20"/>
          <w:szCs w:val="20"/>
        </w:rPr>
        <w:t xml:space="preserve">Replace symptom language (“altered mental status,” “hypotension”) with the underlying diagnosis (“toxic-metabolic encephalopathy,” “septic shock”) when supported.</w:t>
      </w:r>
    </w:p>
    <w:p>
      <w:pPr>
        <w:pStyle w:val="ListParagraph"/>
        <w:numPr>
          <w:ilvl w:val="0"/>
          <w:numId w:val="2"/>
        </w:numPr>
        <w:spacing w:after="60"/>
      </w:pPr>
      <w:r>
        <w:rPr>
          <w:sz w:val="20"/>
          <w:szCs w:val="20"/>
        </w:rPr>
        <w:t xml:space="preserve">Document and resolve each acute condition daily; carrying diagnoses without status updates invites denials.</w:t>
      </w:r>
    </w:p>
    <w:p>
      <w:r>
        <w:br w:type="page"/>
      </w:r>
    </w:p>
    <w:p>
      <w:pPr>
        <w:pStyle w:val="Heading1"/>
      </w:pPr>
      <w:r>
        <w:t xml:space="preserve">Accuracy, Sources &amp; Caveats</w:t>
      </w:r>
    </w:p>
    <w:p>
      <w:pPr>
        <w:pStyle w:val="ListParagraph"/>
        <w:numPr>
          <w:ilvl w:val="0"/>
          <w:numId w:val="2"/>
        </w:numPr>
        <w:spacing w:after="60"/>
      </w:pPr>
      <w:r>
        <w:rPr>
          <w:sz w:val="20"/>
          <w:szCs w:val="20"/>
        </w:rPr>
        <w:t xml:space="preserve">Conversion factor: CY2026 Medicare PFS Final Rule (CMS-1832-F) sets the non-QP CF at $33.40 and the QP/APM CF at $33.57, effective Jan 1, 2026.</w:t>
      </w:r>
    </w:p>
    <w:p>
      <w:pPr>
        <w:pStyle w:val="ListParagraph"/>
        <w:numPr>
          <w:ilvl w:val="0"/>
          <w:numId w:val="2"/>
        </w:numPr>
        <w:spacing w:after="60"/>
      </w:pPr>
      <w:r>
        <w:rPr>
          <w:sz w:val="20"/>
          <w:szCs w:val="20"/>
        </w:rPr>
        <w:t xml:space="preserve">RVU and dollar figures are national, unadjusted total facility RVUs × $33.40. Actual payment varies by local GPCI, facility vs non-facility setting, and payer; commercial payers do not use the Medicare CF.</w:t>
      </w:r>
    </w:p>
    <w:p>
      <w:pPr>
        <w:pStyle w:val="ListParagraph"/>
        <w:numPr>
          <w:ilvl w:val="0"/>
          <w:numId w:val="2"/>
        </w:numPr>
        <w:spacing w:after="60"/>
      </w:pPr>
      <w:r>
        <w:rPr>
          <w:sz w:val="20"/>
          <w:szCs w:val="20"/>
        </w:rPr>
        <w:t xml:space="preserve">Coding rules (time thresholds, bundled services) reflect CPT and CMS/MAC guidance current as of May 2026. Split/shared substantive-portion definitions have shifted year to year — confirm the current CMS rule and your MAC's local policy.</w:t>
      </w:r>
    </w:p>
    <w:p>
      <w:pPr>
        <w:pStyle w:val="ListParagraph"/>
        <w:numPr>
          <w:ilvl w:val="0"/>
          <w:numId w:val="2"/>
        </w:numPr>
        <w:spacing w:after="60"/>
      </w:pPr>
      <w:r>
        <w:rPr>
          <w:b/>
          <w:bCs/>
          <w:i w:val="false"/>
          <w:iCs w:val="false"/>
          <w:sz w:val="20"/>
          <w:szCs w:val="20"/>
        </w:rPr>
        <w:t xml:space="preserve">Verify before billing. </w:t>
      </w:r>
      <w:r>
        <w:rPr>
          <w:b w:val="false"/>
          <w:bCs w:val="false"/>
          <w:i w:val="false"/>
          <w:iCs w:val="false"/>
          <w:sz w:val="20"/>
          <w:szCs w:val="20"/>
        </w:rPr>
        <w:t xml:space="preserve">Individual code values here were compiled from secondary RVU references and cross-checked, but secondary sources sometimes disagree. For billing-grade or contract-grade certainty, confirm each code against the official CMS Physician Fee Schedule Look-Up Tool.</w:t>
      </w:r>
    </w:p>
    <w:p>
      <w:pPr>
        <w:pStyle w:val="ListParagraph"/>
        <w:numPr>
          <w:ilvl w:val="0"/>
          <w:numId w:val="2"/>
        </w:numPr>
        <w:spacing w:after="60"/>
      </w:pPr>
      <w:r>
        <w:rPr>
          <w:sz w:val="20"/>
          <w:szCs w:val="20"/>
        </w:rPr>
        <w:t xml:space="preserve">This sheet is an educational quick reference, not coding/legal/financial advice, and is not an official CMS, AMA, or MGMA product. CPT® is a registered trademark of the AMA.</w:t>
      </w:r>
    </w:p>
    <w:p>
      <w:pPr>
        <w:spacing w:after="40"/>
      </w:pPr>
      <w:r>
        <w:rPr>
          <w:b/>
          <w:bCs/>
          <w:i w:val="false"/>
          <w:iCs w:val="false"/>
          <w:sz w:val="20"/>
          <w:szCs w:val="20"/>
        </w:rPr>
        <w:t xml:space="preserve">Key sources:</w:t>
      </w:r>
    </w:p>
    <w:p>
      <w:pPr>
        <w:pStyle w:val="ListParagraph"/>
        <w:numPr>
          <w:ilvl w:val="0"/>
          <w:numId w:val="2"/>
        </w:numPr>
        <w:spacing w:after="60"/>
      </w:pPr>
      <w:r>
        <w:rPr>
          <w:sz w:val="20"/>
          <w:szCs w:val="20"/>
        </w:rPr>
        <w:t xml:space="preserve">CMS — CY2026 Medicare Physician Fee Schedule Final Rule (CMS-1832-F) fact sheet, cms.gov</w:t>
      </w:r>
    </w:p>
    <w:p>
      <w:pPr>
        <w:pStyle w:val="ListParagraph"/>
        <w:numPr>
          <w:ilvl w:val="0"/>
          <w:numId w:val="2"/>
        </w:numPr>
        <w:spacing w:after="60"/>
      </w:pPr>
      <w:r>
        <w:rPr>
          <w:sz w:val="20"/>
          <w:szCs w:val="20"/>
        </w:rPr>
        <w:t xml:space="preserve">CMS Physician Fee Schedule Relative Value Files (PPRRVU2026), cms.gov</w:t>
      </w:r>
    </w:p>
    <w:p>
      <w:pPr>
        <w:pStyle w:val="ListParagraph"/>
        <w:numPr>
          <w:ilvl w:val="0"/>
          <w:numId w:val="2"/>
        </w:numPr>
        <w:spacing w:after="60"/>
      </w:pPr>
      <w:r>
        <w:rPr>
          <w:sz w:val="20"/>
          <w:szCs w:val="20"/>
        </w:rPr>
        <w:t xml:space="preserve">Noridian (MAC) — Critical Care Services bundled-code guidance</w:t>
      </w:r>
    </w:p>
    <w:p>
      <w:pPr>
        <w:pStyle w:val="ListParagraph"/>
        <w:numPr>
          <w:ilvl w:val="0"/>
          <w:numId w:val="2"/>
        </w:numPr>
        <w:spacing w:after="60"/>
      </w:pPr>
      <w:r>
        <w:rPr>
          <w:sz w:val="20"/>
          <w:szCs w:val="20"/>
        </w:rPr>
        <w:t xml:space="preserve">CMS Medicare Claims Processing Manual &amp; MLN — Teaching Physician services and Split (or Shared) E/M visits (substantive portion, GC/FS/GE modifiers); ACEP teaching-physician &amp; shared-services FAQs</w:t>
      </w:r>
    </w:p>
    <w:p>
      <w:pPr>
        <w:pStyle w:val="ListParagraph"/>
        <w:numPr>
          <w:ilvl w:val="0"/>
          <w:numId w:val="2"/>
        </w:numPr>
        <w:spacing w:after="60"/>
      </w:pPr>
      <w:r>
        <w:rPr>
          <w:sz w:val="20"/>
          <w:szCs w:val="20"/>
        </w:rPr>
        <w:t xml:space="preserve">CodingIntel — CPT vs CMS critical care rules; AAPC / FindACode code references; FastRVU 2026 per-code RVU pages</w:t>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888888"/>
        <w:sz w:val="14"/>
        <w:szCs w:val="14"/>
      </w:rPr>
      <w:t xml:space="preserve">Critical Care Billing Cheat Sheet — CY2026  •  Educational reference; verify against CMS PFS before billing</w:t>
    </w:r>
    <w:r>
      <w:rPr>
        <w:color w:val="888888"/>
        <w:sz w:val="14"/>
        <w:szCs w:val="14"/>
      </w:rPr>
      <w:t xml:space="preserve">	Page </w:t>
    </w:r>
    <w:r>
      <w:rPr>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6" w:space="2"/>
      </w:pBdr>
      <w:spacing w:after="120" w:before="200"/>
      <w:outlineLvl w:val="0"/>
    </w:pPr>
    <w:rPr>
      <w:rFonts w:ascii="Arial" w:cs="Arial" w:eastAsia="Arial" w:hAnsi="Arial"/>
      <w:b/>
      <w:bCs/>
      <w:color w:val="1F3864"/>
      <w:sz w:val="28"/>
      <w:szCs w:val="28"/>
    </w:rPr>
  </w:style>
  <w:style w:type="paragraph" w:styleId="Heading2">
    <w:name w:val="Heading 2"/>
    <w:basedOn w:val="Normal"/>
    <w:next w:val="Normal"/>
    <w:qFormat/>
    <w:pPr>
      <w:spacing w:after="80" w:before="160"/>
      <w:outlineLvl w:val="1"/>
    </w:pPr>
    <w:rPr>
      <w:rFonts w:ascii="Arial" w:cs="Arial" w:eastAsia="Arial" w:hAnsi="Arial"/>
      <w:b/>
      <w:bCs/>
      <w:color w:val="2E75B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2026-05-29T16:59:10.962Z</dcterms:created>
  <dcterms:modified xsi:type="dcterms:W3CDTF">2026-05-29T16:59:10.963Z</dcterms:modified>
</cp:coreProperties>
</file>

<file path=docProps/custom.xml><?xml version="1.0" encoding="utf-8"?>
<Properties xmlns="http://schemas.openxmlformats.org/officeDocument/2006/custom-properties" xmlns:vt="http://schemas.openxmlformats.org/officeDocument/2006/docPropsVTypes"/>
</file>